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4EB5E" w14:textId="77777777" w:rsidR="001D1BBB" w:rsidRDefault="001D1BBB" w:rsidP="001D1BBB">
      <w:pPr>
        <w:ind w:firstLine="360"/>
        <w:jc w:val="center"/>
        <w:rPr>
          <w:rFonts w:ascii="Arial" w:hAnsi="Arial" w:cs="Arial"/>
          <w:b/>
          <w:sz w:val="32"/>
          <w:szCs w:val="32"/>
        </w:rPr>
      </w:pPr>
      <w:r>
        <w:rPr>
          <w:rFonts w:ascii="Arial" w:hAnsi="Arial" w:cs="Arial"/>
          <w:b/>
          <w:sz w:val="32"/>
          <w:szCs w:val="32"/>
        </w:rPr>
        <w:t>ART GALLERY OF SOUTH AUSTRALIA</w:t>
      </w:r>
    </w:p>
    <w:p w14:paraId="209A2438" w14:textId="77777777" w:rsidR="001D1BBB" w:rsidRPr="0091448D" w:rsidRDefault="001D1BBB" w:rsidP="001D1BBB">
      <w:pPr>
        <w:jc w:val="center"/>
        <w:rPr>
          <w:rFonts w:ascii="Arial" w:hAnsi="Arial" w:cs="Arial"/>
          <w:sz w:val="28"/>
          <w:szCs w:val="32"/>
        </w:rPr>
      </w:pPr>
    </w:p>
    <w:p w14:paraId="546C4A2A" w14:textId="77777777" w:rsidR="001D1BBB" w:rsidRPr="0091448D" w:rsidRDefault="001D1BBB" w:rsidP="001D1BBB">
      <w:pPr>
        <w:jc w:val="center"/>
        <w:rPr>
          <w:rFonts w:ascii="Arial" w:hAnsi="Arial" w:cs="Arial"/>
          <w:b/>
          <w:sz w:val="32"/>
          <w:szCs w:val="32"/>
        </w:rPr>
      </w:pPr>
      <w:r>
        <w:rPr>
          <w:rFonts w:ascii="Arial" w:hAnsi="Arial" w:cs="Arial"/>
          <w:b/>
          <w:sz w:val="32"/>
          <w:szCs w:val="32"/>
        </w:rPr>
        <w:t>Exhibition</w:t>
      </w:r>
      <w:r w:rsidRPr="0091448D">
        <w:rPr>
          <w:rFonts w:ascii="Arial" w:hAnsi="Arial" w:cs="Arial"/>
          <w:b/>
          <w:sz w:val="32"/>
          <w:szCs w:val="32"/>
        </w:rPr>
        <w:t xml:space="preserve"> Policy</w:t>
      </w:r>
    </w:p>
    <w:p w14:paraId="59661495" w14:textId="77777777" w:rsidR="001D1BBB" w:rsidRPr="0091448D" w:rsidRDefault="001D1BBB" w:rsidP="001D1BBB">
      <w:pPr>
        <w:jc w:val="center"/>
        <w:rPr>
          <w:rFonts w:ascii="Arial" w:hAnsi="Arial" w:cs="Arial"/>
        </w:rPr>
      </w:pPr>
    </w:p>
    <w:p w14:paraId="2C5708D3" w14:textId="77777777" w:rsidR="001D1BBB" w:rsidRPr="0091448D" w:rsidRDefault="001D1BBB" w:rsidP="001D1BBB">
      <w:pPr>
        <w:ind w:hanging="567"/>
        <w:rPr>
          <w:rFonts w:ascii="Arial" w:hAnsi="Arial" w:cs="Arial"/>
          <w:b/>
        </w:rPr>
      </w:pPr>
      <w:r w:rsidRPr="0091448D">
        <w:rPr>
          <w:rFonts w:ascii="Arial" w:hAnsi="Arial" w:cs="Arial"/>
          <w:b/>
        </w:rPr>
        <w:t>Contents</w:t>
      </w:r>
    </w:p>
    <w:p w14:paraId="21FA4B97" w14:textId="77777777" w:rsidR="001D1BBB" w:rsidRPr="0091448D" w:rsidRDefault="001D1BBB" w:rsidP="001D1BBB">
      <w:pPr>
        <w:rPr>
          <w:rFonts w:ascii="Arial" w:hAnsi="Arial" w:cs="Arial"/>
          <w:b/>
        </w:rPr>
      </w:pPr>
    </w:p>
    <w:p w14:paraId="1A329788" w14:textId="77777777" w:rsidR="001D1BBB" w:rsidRPr="0091448D" w:rsidRDefault="001D1BBB" w:rsidP="001D1BBB">
      <w:pPr>
        <w:ind w:left="720" w:hanging="720"/>
        <w:rPr>
          <w:rFonts w:ascii="Arial" w:hAnsi="Arial" w:cs="Arial"/>
        </w:rPr>
      </w:pPr>
      <w:r w:rsidRPr="0091448D">
        <w:rPr>
          <w:rFonts w:ascii="Arial" w:hAnsi="Arial" w:cs="Arial"/>
        </w:rPr>
        <w:t>1</w:t>
      </w:r>
      <w:r>
        <w:rPr>
          <w:rFonts w:ascii="Arial" w:hAnsi="Arial" w:cs="Arial"/>
        </w:rPr>
        <w:t>.</w:t>
      </w:r>
      <w:r w:rsidRPr="0091448D">
        <w:rPr>
          <w:rFonts w:ascii="Arial" w:hAnsi="Arial" w:cs="Arial"/>
        </w:rPr>
        <w:tab/>
        <w:t>Purpose of this Policy</w:t>
      </w:r>
    </w:p>
    <w:p w14:paraId="21EBEE50" w14:textId="77777777" w:rsidR="001D1BBB" w:rsidRPr="0091448D" w:rsidRDefault="001D1BBB" w:rsidP="001D1BBB">
      <w:pPr>
        <w:ind w:left="720" w:hanging="720"/>
        <w:rPr>
          <w:rFonts w:ascii="Arial" w:hAnsi="Arial" w:cs="Arial"/>
        </w:rPr>
      </w:pPr>
      <w:r w:rsidRPr="0091448D">
        <w:rPr>
          <w:rFonts w:ascii="Arial" w:hAnsi="Arial" w:cs="Arial"/>
        </w:rPr>
        <w:t>2</w:t>
      </w:r>
      <w:r>
        <w:rPr>
          <w:rFonts w:ascii="Arial" w:hAnsi="Arial" w:cs="Arial"/>
        </w:rPr>
        <w:t>.</w:t>
      </w:r>
      <w:r w:rsidRPr="0091448D">
        <w:rPr>
          <w:rFonts w:ascii="Arial" w:hAnsi="Arial" w:cs="Arial"/>
        </w:rPr>
        <w:tab/>
      </w:r>
      <w:r>
        <w:rPr>
          <w:rFonts w:ascii="Arial" w:hAnsi="Arial" w:cs="Arial"/>
        </w:rPr>
        <w:t>Roles and Responsibilities</w:t>
      </w:r>
    </w:p>
    <w:p w14:paraId="7322257D" w14:textId="77777777" w:rsidR="001D1BBB" w:rsidRPr="0091448D" w:rsidRDefault="001D1BBB" w:rsidP="001D1BBB">
      <w:pPr>
        <w:ind w:left="720" w:hanging="720"/>
        <w:rPr>
          <w:rFonts w:ascii="Arial" w:hAnsi="Arial" w:cs="Arial"/>
        </w:rPr>
      </w:pPr>
      <w:r w:rsidRPr="0091448D">
        <w:rPr>
          <w:rFonts w:ascii="Arial" w:hAnsi="Arial" w:cs="Arial"/>
        </w:rPr>
        <w:t>3</w:t>
      </w:r>
      <w:r>
        <w:rPr>
          <w:rFonts w:ascii="Arial" w:hAnsi="Arial" w:cs="Arial"/>
        </w:rPr>
        <w:t>.</w:t>
      </w:r>
      <w:r w:rsidRPr="0091448D">
        <w:rPr>
          <w:rFonts w:ascii="Arial" w:hAnsi="Arial" w:cs="Arial"/>
        </w:rPr>
        <w:tab/>
      </w:r>
      <w:r>
        <w:rPr>
          <w:rFonts w:ascii="Arial" w:hAnsi="Arial" w:cs="Arial"/>
        </w:rPr>
        <w:t>Principles</w:t>
      </w:r>
    </w:p>
    <w:p w14:paraId="00050F9F" w14:textId="77777777" w:rsidR="001D1BBB" w:rsidRPr="0091448D" w:rsidRDefault="001D1BBB" w:rsidP="001D1BBB">
      <w:pPr>
        <w:ind w:left="720" w:hanging="720"/>
        <w:rPr>
          <w:rFonts w:ascii="Arial" w:hAnsi="Arial" w:cs="Arial"/>
        </w:rPr>
      </w:pPr>
      <w:r w:rsidRPr="0091448D">
        <w:rPr>
          <w:rFonts w:ascii="Arial" w:hAnsi="Arial" w:cs="Arial"/>
        </w:rPr>
        <w:t>4</w:t>
      </w:r>
      <w:r>
        <w:rPr>
          <w:rFonts w:ascii="Arial" w:hAnsi="Arial" w:cs="Arial"/>
        </w:rPr>
        <w:t>.</w:t>
      </w:r>
      <w:r w:rsidRPr="0091448D">
        <w:rPr>
          <w:rFonts w:ascii="Arial" w:hAnsi="Arial" w:cs="Arial"/>
        </w:rPr>
        <w:tab/>
      </w:r>
      <w:r w:rsidRPr="004B133F">
        <w:rPr>
          <w:rFonts w:ascii="Arial" w:hAnsi="Arial" w:cs="Arial"/>
          <w:bCs/>
        </w:rPr>
        <w:t>Exhibition Models</w:t>
      </w:r>
    </w:p>
    <w:p w14:paraId="5D34E6C1" w14:textId="77777777" w:rsidR="001D1BBB" w:rsidRPr="0091448D" w:rsidRDefault="001D1BBB" w:rsidP="001D1BBB">
      <w:pPr>
        <w:ind w:left="720" w:hanging="720"/>
        <w:rPr>
          <w:rFonts w:ascii="Arial" w:hAnsi="Arial" w:cs="Arial"/>
        </w:rPr>
      </w:pPr>
      <w:r w:rsidRPr="0091448D">
        <w:rPr>
          <w:rFonts w:ascii="Arial" w:hAnsi="Arial" w:cs="Arial"/>
        </w:rPr>
        <w:t>5</w:t>
      </w:r>
      <w:r>
        <w:rPr>
          <w:rFonts w:ascii="Arial" w:hAnsi="Arial" w:cs="Arial"/>
        </w:rPr>
        <w:t>.</w:t>
      </w:r>
      <w:r w:rsidRPr="0091448D">
        <w:rPr>
          <w:rFonts w:ascii="Arial" w:hAnsi="Arial" w:cs="Arial"/>
        </w:rPr>
        <w:tab/>
      </w:r>
      <w:r w:rsidRPr="004B133F">
        <w:rPr>
          <w:rFonts w:ascii="Arial" w:hAnsi="Arial" w:cs="Arial"/>
          <w:bCs/>
        </w:rPr>
        <w:t>Decision-making Process</w:t>
      </w:r>
    </w:p>
    <w:p w14:paraId="51856975" w14:textId="77777777" w:rsidR="001D1BBB" w:rsidRPr="0091448D" w:rsidRDefault="001D1BBB" w:rsidP="001D1BBB">
      <w:pPr>
        <w:ind w:left="720" w:hanging="720"/>
        <w:rPr>
          <w:rFonts w:ascii="Arial" w:hAnsi="Arial" w:cs="Arial"/>
        </w:rPr>
      </w:pPr>
      <w:r w:rsidRPr="0091448D">
        <w:rPr>
          <w:rFonts w:ascii="Arial" w:hAnsi="Arial" w:cs="Arial"/>
        </w:rPr>
        <w:t>6</w:t>
      </w:r>
      <w:r>
        <w:rPr>
          <w:rFonts w:ascii="Arial" w:hAnsi="Arial" w:cs="Arial"/>
        </w:rPr>
        <w:t>.</w:t>
      </w:r>
      <w:r w:rsidRPr="0091448D">
        <w:rPr>
          <w:rFonts w:ascii="Arial" w:hAnsi="Arial" w:cs="Arial"/>
        </w:rPr>
        <w:tab/>
        <w:t xml:space="preserve">Related </w:t>
      </w:r>
      <w:r>
        <w:rPr>
          <w:rFonts w:ascii="Arial" w:hAnsi="Arial" w:cs="Arial"/>
        </w:rPr>
        <w:t>Documents</w:t>
      </w:r>
    </w:p>
    <w:p w14:paraId="062B9210" w14:textId="77777777" w:rsidR="001D1BBB" w:rsidRPr="0091448D" w:rsidRDefault="001D1BBB" w:rsidP="001D1BBB">
      <w:pPr>
        <w:ind w:left="720" w:hanging="720"/>
        <w:rPr>
          <w:rFonts w:ascii="Arial" w:hAnsi="Arial" w:cs="Arial"/>
        </w:rPr>
      </w:pPr>
      <w:r>
        <w:rPr>
          <w:rFonts w:ascii="Arial" w:hAnsi="Arial" w:cs="Arial"/>
        </w:rPr>
        <w:t>7.</w:t>
      </w:r>
      <w:r w:rsidRPr="0091448D">
        <w:rPr>
          <w:rFonts w:ascii="Arial" w:hAnsi="Arial" w:cs="Arial"/>
        </w:rPr>
        <w:tab/>
        <w:t>Review</w:t>
      </w:r>
      <w:r>
        <w:rPr>
          <w:rFonts w:ascii="Arial" w:hAnsi="Arial" w:cs="Arial"/>
        </w:rPr>
        <w:t xml:space="preserve"> Process</w:t>
      </w:r>
    </w:p>
    <w:p w14:paraId="508F1A25" w14:textId="77777777" w:rsidR="001D1BBB" w:rsidRPr="00B86BDA" w:rsidRDefault="001D1BBB" w:rsidP="001D1BBB">
      <w:pPr>
        <w:pStyle w:val="NoSpacing"/>
        <w:rPr>
          <w:rFonts w:ascii="Arial" w:hAnsi="Arial" w:cs="Arial"/>
        </w:rPr>
      </w:pPr>
    </w:p>
    <w:p w14:paraId="1CEAEF56" w14:textId="77777777" w:rsidR="001D1BBB" w:rsidRPr="0091448D" w:rsidRDefault="001D1BBB" w:rsidP="001D1BBB">
      <w:pPr>
        <w:ind w:left="-567"/>
        <w:rPr>
          <w:rFonts w:ascii="Arial" w:hAnsi="Arial" w:cs="Arial"/>
          <w:b/>
        </w:rPr>
      </w:pPr>
      <w:r w:rsidRPr="0091448D">
        <w:rPr>
          <w:rFonts w:ascii="Arial" w:hAnsi="Arial" w:cs="Arial"/>
          <w:b/>
        </w:rPr>
        <w:t>1.</w:t>
      </w:r>
      <w:r w:rsidRPr="0091448D">
        <w:rPr>
          <w:rFonts w:ascii="Arial" w:hAnsi="Arial" w:cs="Arial"/>
          <w:b/>
        </w:rPr>
        <w:tab/>
        <w:t>Purpose of this Policy</w:t>
      </w:r>
    </w:p>
    <w:p w14:paraId="7BEC6D50" w14:textId="77777777" w:rsidR="001D1BBB" w:rsidRPr="00B86BDA" w:rsidRDefault="001D1BBB" w:rsidP="001D1BBB">
      <w:pPr>
        <w:pStyle w:val="NoSpacing"/>
        <w:rPr>
          <w:rFonts w:ascii="Arial" w:hAnsi="Arial" w:cs="Arial"/>
        </w:rPr>
      </w:pPr>
    </w:p>
    <w:p w14:paraId="382A834F" w14:textId="063EE71E" w:rsidR="001D1BBB" w:rsidRPr="00B86BDA" w:rsidRDefault="001D1BBB" w:rsidP="001D1BBB">
      <w:pPr>
        <w:pStyle w:val="NoSpacing"/>
        <w:rPr>
          <w:rFonts w:ascii="Arial" w:hAnsi="Arial" w:cs="Arial"/>
        </w:rPr>
      </w:pPr>
      <w:r w:rsidRPr="00B86BDA">
        <w:rPr>
          <w:rFonts w:ascii="Arial" w:hAnsi="Arial" w:cs="Arial"/>
        </w:rPr>
        <w:t>This policy informs the development of the exhibition program at the Art Gallery of South Australia</w:t>
      </w:r>
      <w:r>
        <w:rPr>
          <w:rFonts w:ascii="Arial" w:hAnsi="Arial" w:cs="Arial"/>
        </w:rPr>
        <w:t xml:space="preserve"> (AGSA)</w:t>
      </w:r>
      <w:r w:rsidRPr="00B86BDA">
        <w:rPr>
          <w:rFonts w:ascii="Arial" w:hAnsi="Arial" w:cs="Arial"/>
        </w:rPr>
        <w:t xml:space="preserve"> and is informed by </w:t>
      </w:r>
      <w:r w:rsidR="004D26AC">
        <w:rPr>
          <w:rFonts w:ascii="Arial" w:hAnsi="Arial" w:cs="Arial"/>
        </w:rPr>
        <w:t>AGSA</w:t>
      </w:r>
      <w:r w:rsidRPr="00B86BDA">
        <w:rPr>
          <w:rFonts w:ascii="Arial" w:hAnsi="Arial" w:cs="Arial"/>
        </w:rPr>
        <w:t>’s strategic goals as outlined in the Strategic Plan 2019-2022.</w:t>
      </w:r>
    </w:p>
    <w:p w14:paraId="51FC413E" w14:textId="77777777" w:rsidR="001D1BBB" w:rsidRPr="00B86BDA" w:rsidRDefault="001D1BBB" w:rsidP="001D1BBB">
      <w:pPr>
        <w:pStyle w:val="NoSpacing"/>
        <w:rPr>
          <w:rFonts w:ascii="Arial" w:hAnsi="Arial" w:cs="Arial"/>
        </w:rPr>
      </w:pPr>
    </w:p>
    <w:p w14:paraId="555FD5AB" w14:textId="77777777" w:rsidR="001D1BBB" w:rsidRPr="00B86BDA" w:rsidRDefault="001D1BBB" w:rsidP="001D1BBB">
      <w:pPr>
        <w:pStyle w:val="NoSpacing"/>
        <w:rPr>
          <w:rFonts w:ascii="Arial" w:hAnsi="Arial" w:cs="Arial"/>
        </w:rPr>
      </w:pPr>
      <w:r w:rsidRPr="00B86BDA">
        <w:rPr>
          <w:rFonts w:ascii="Arial" w:hAnsi="Arial" w:cs="Arial"/>
        </w:rPr>
        <w:t>As also outlined in the Strategic Plan, AGSA contributes positively to cultural cohesion, social wellbeing, creativity, engaged citizenship and economic life in South Australia and this achieved largely through the artistic program.</w:t>
      </w:r>
    </w:p>
    <w:p w14:paraId="5894DB69" w14:textId="77777777" w:rsidR="001D1BBB" w:rsidRPr="00B86BDA" w:rsidRDefault="001D1BBB" w:rsidP="001D1BBB">
      <w:pPr>
        <w:pStyle w:val="NoSpacing"/>
        <w:ind w:left="720" w:hanging="720"/>
        <w:rPr>
          <w:rFonts w:ascii="Arial" w:hAnsi="Arial" w:cs="Arial"/>
        </w:rPr>
      </w:pPr>
    </w:p>
    <w:p w14:paraId="61B22043" w14:textId="77777777" w:rsidR="001D1BBB" w:rsidRPr="00B86BDA" w:rsidRDefault="001D1BBB" w:rsidP="001D1BBB">
      <w:pPr>
        <w:pStyle w:val="NoSpacing"/>
        <w:rPr>
          <w:rFonts w:ascii="Arial" w:hAnsi="Arial" w:cs="Arial"/>
        </w:rPr>
      </w:pPr>
      <w:r w:rsidRPr="00B86BDA">
        <w:rPr>
          <w:rFonts w:ascii="Arial" w:hAnsi="Arial" w:cs="Arial"/>
        </w:rPr>
        <w:t xml:space="preserve">Exhibitions are presented at AGSA, at partner venues (primarily in the case of </w:t>
      </w:r>
      <w:proofErr w:type="spellStart"/>
      <w:r w:rsidRPr="00B86BDA">
        <w:rPr>
          <w:rFonts w:ascii="Arial" w:hAnsi="Arial" w:cs="Arial"/>
        </w:rPr>
        <w:t>Tarnanthi</w:t>
      </w:r>
      <w:proofErr w:type="spellEnd"/>
      <w:r>
        <w:rPr>
          <w:rFonts w:ascii="Arial" w:hAnsi="Arial" w:cs="Arial"/>
        </w:rPr>
        <w:t>: Festival of Aboriginal and Torres Strait Islander Art</w:t>
      </w:r>
      <w:r w:rsidRPr="00B86BDA">
        <w:rPr>
          <w:rFonts w:ascii="Arial" w:hAnsi="Arial" w:cs="Arial"/>
        </w:rPr>
        <w:t xml:space="preserve"> and the Adelaide Biennial of Australian Art)</w:t>
      </w:r>
      <w:r>
        <w:rPr>
          <w:rFonts w:ascii="Arial" w:hAnsi="Arial" w:cs="Arial"/>
        </w:rPr>
        <w:t xml:space="preserve"> in Adelaide,</w:t>
      </w:r>
      <w:r w:rsidRPr="00B86BDA">
        <w:rPr>
          <w:rFonts w:ascii="Arial" w:hAnsi="Arial" w:cs="Arial"/>
        </w:rPr>
        <w:t xml:space="preserve"> regional South Australia, and at interstate and international venues.</w:t>
      </w:r>
    </w:p>
    <w:p w14:paraId="098C915F" w14:textId="77777777" w:rsidR="001D1BBB" w:rsidRPr="00B86BDA" w:rsidRDefault="001D1BBB" w:rsidP="001D1BBB">
      <w:pPr>
        <w:pStyle w:val="NoSpacing"/>
        <w:rPr>
          <w:rFonts w:ascii="Arial" w:hAnsi="Arial" w:cs="Arial"/>
        </w:rPr>
      </w:pPr>
    </w:p>
    <w:p w14:paraId="70B1939E" w14:textId="77777777" w:rsidR="001D1BBB" w:rsidRPr="0091448D" w:rsidRDefault="001D1BBB" w:rsidP="001D1BBB">
      <w:pPr>
        <w:ind w:hanging="567"/>
        <w:rPr>
          <w:rFonts w:ascii="Arial" w:hAnsi="Arial" w:cs="Arial"/>
          <w:b/>
        </w:rPr>
      </w:pPr>
      <w:r>
        <w:rPr>
          <w:rFonts w:ascii="Arial" w:hAnsi="Arial" w:cs="Arial"/>
          <w:b/>
        </w:rPr>
        <w:t>2</w:t>
      </w:r>
      <w:r w:rsidRPr="0091448D">
        <w:rPr>
          <w:rFonts w:ascii="Arial" w:hAnsi="Arial" w:cs="Arial"/>
          <w:b/>
        </w:rPr>
        <w:t>.</w:t>
      </w:r>
      <w:r w:rsidRPr="0091448D">
        <w:rPr>
          <w:rFonts w:ascii="Arial" w:hAnsi="Arial" w:cs="Arial"/>
          <w:b/>
        </w:rPr>
        <w:tab/>
      </w:r>
      <w:r>
        <w:rPr>
          <w:rFonts w:ascii="Arial" w:hAnsi="Arial" w:cs="Arial"/>
          <w:b/>
        </w:rPr>
        <w:t>Roles and Responsibilities</w:t>
      </w:r>
    </w:p>
    <w:p w14:paraId="677917BF" w14:textId="77777777" w:rsidR="001D1BBB" w:rsidRPr="00B86BDA" w:rsidRDefault="001D1BBB" w:rsidP="001D1BBB">
      <w:pPr>
        <w:pStyle w:val="NoSpacing"/>
        <w:rPr>
          <w:rFonts w:ascii="Arial" w:hAnsi="Arial" w:cs="Arial"/>
        </w:rPr>
      </w:pPr>
    </w:p>
    <w:p w14:paraId="2B90E443" w14:textId="77777777" w:rsidR="001D1BBB" w:rsidRPr="00B86BDA" w:rsidRDefault="001D1BBB" w:rsidP="001D1BBB">
      <w:pPr>
        <w:pStyle w:val="NoSpacing"/>
        <w:rPr>
          <w:rFonts w:ascii="Arial" w:hAnsi="Arial" w:cs="Arial"/>
        </w:rPr>
      </w:pPr>
      <w:r w:rsidRPr="00B86BDA">
        <w:rPr>
          <w:rFonts w:ascii="Arial" w:hAnsi="Arial" w:cs="Arial"/>
        </w:rPr>
        <w:t xml:space="preserve">The </w:t>
      </w:r>
      <w:r>
        <w:rPr>
          <w:rFonts w:ascii="Arial" w:hAnsi="Arial" w:cs="Arial"/>
        </w:rPr>
        <w:t xml:space="preserve">Art Gallery </w:t>
      </w:r>
      <w:r w:rsidRPr="00B86BDA">
        <w:rPr>
          <w:rFonts w:ascii="Arial" w:hAnsi="Arial" w:cs="Arial"/>
        </w:rPr>
        <w:t>Board is responsible for approving this policy while the Director and Senior Management Group are responsible for overseeing its implementation.</w:t>
      </w:r>
    </w:p>
    <w:p w14:paraId="7091AB10" w14:textId="77777777" w:rsidR="001D1BBB" w:rsidRDefault="001D1BBB" w:rsidP="001D1BBB">
      <w:pPr>
        <w:pStyle w:val="NoSpacing"/>
        <w:rPr>
          <w:rFonts w:ascii="Arial" w:hAnsi="Arial" w:cs="Arial"/>
        </w:rPr>
      </w:pPr>
    </w:p>
    <w:p w14:paraId="1F5C8504" w14:textId="77777777" w:rsidR="001D1BBB" w:rsidRPr="0091448D" w:rsidRDefault="001D1BBB" w:rsidP="001D1BBB">
      <w:pPr>
        <w:ind w:hanging="567"/>
        <w:rPr>
          <w:rFonts w:ascii="Arial" w:hAnsi="Arial" w:cs="Arial"/>
          <w:b/>
        </w:rPr>
      </w:pPr>
      <w:r>
        <w:rPr>
          <w:rFonts w:ascii="Arial" w:hAnsi="Arial" w:cs="Arial"/>
          <w:b/>
        </w:rPr>
        <w:t>3</w:t>
      </w:r>
      <w:r w:rsidRPr="0091448D">
        <w:rPr>
          <w:rFonts w:ascii="Arial" w:hAnsi="Arial" w:cs="Arial"/>
          <w:b/>
        </w:rPr>
        <w:t>.</w:t>
      </w:r>
      <w:r w:rsidRPr="0091448D">
        <w:rPr>
          <w:rFonts w:ascii="Arial" w:hAnsi="Arial" w:cs="Arial"/>
          <w:b/>
        </w:rPr>
        <w:tab/>
      </w:r>
      <w:r>
        <w:rPr>
          <w:rFonts w:ascii="Arial" w:hAnsi="Arial" w:cs="Arial"/>
          <w:b/>
        </w:rPr>
        <w:t>Principles</w:t>
      </w:r>
    </w:p>
    <w:p w14:paraId="3B67BC33" w14:textId="77777777" w:rsidR="001D1BBB" w:rsidRDefault="001D1BBB" w:rsidP="001D1BBB">
      <w:pPr>
        <w:pStyle w:val="NoSpacing"/>
        <w:rPr>
          <w:rFonts w:ascii="Arial" w:hAnsi="Arial" w:cs="Arial"/>
        </w:rPr>
      </w:pPr>
    </w:p>
    <w:p w14:paraId="15ABD0E3" w14:textId="77777777" w:rsidR="001D1BBB" w:rsidRPr="00B86BDA" w:rsidRDefault="001D1BBB" w:rsidP="001D1BBB">
      <w:pPr>
        <w:pStyle w:val="NoSpacing"/>
        <w:ind w:left="720" w:hanging="720"/>
        <w:rPr>
          <w:rFonts w:ascii="Arial" w:hAnsi="Arial" w:cs="Arial"/>
        </w:rPr>
      </w:pPr>
      <w:r w:rsidRPr="00B86BDA">
        <w:rPr>
          <w:rFonts w:ascii="Arial" w:hAnsi="Arial" w:cs="Arial"/>
        </w:rPr>
        <w:t>The following principles underpin AGSA’s approach to its exhibition program:</w:t>
      </w:r>
    </w:p>
    <w:p w14:paraId="7B795E91" w14:textId="77777777" w:rsidR="001D1BBB" w:rsidRPr="00B86BDA" w:rsidRDefault="001D1BBB" w:rsidP="001D1BBB">
      <w:pPr>
        <w:pStyle w:val="NoSpacing"/>
        <w:ind w:left="720"/>
        <w:rPr>
          <w:rFonts w:ascii="Arial" w:hAnsi="Arial" w:cs="Arial"/>
        </w:rPr>
      </w:pPr>
    </w:p>
    <w:p w14:paraId="7A2DD32A" w14:textId="1E50DEA2" w:rsidR="001D1BBB" w:rsidRPr="00B86BDA" w:rsidRDefault="00254FFB" w:rsidP="001D1BBB">
      <w:pPr>
        <w:pStyle w:val="NoSpacing"/>
        <w:numPr>
          <w:ilvl w:val="0"/>
          <w:numId w:val="3"/>
        </w:numPr>
        <w:ind w:left="709" w:hanging="709"/>
        <w:rPr>
          <w:rFonts w:ascii="Arial" w:hAnsi="Arial" w:cs="Arial"/>
        </w:rPr>
      </w:pPr>
      <w:r>
        <w:rPr>
          <w:rFonts w:ascii="Arial" w:hAnsi="Arial" w:cs="Arial"/>
          <w:u w:val="single"/>
        </w:rPr>
        <w:t>AGSA</w:t>
      </w:r>
      <w:r w:rsidR="001D1BBB" w:rsidRPr="00B86BDA">
        <w:rPr>
          <w:rFonts w:ascii="Arial" w:hAnsi="Arial" w:cs="Arial"/>
          <w:u w:val="single"/>
        </w:rPr>
        <w:t xml:space="preserve"> vision</w:t>
      </w:r>
      <w:r w:rsidR="001D1BBB" w:rsidRPr="00B86BDA">
        <w:rPr>
          <w:rFonts w:ascii="Arial" w:hAnsi="Arial" w:cs="Arial"/>
        </w:rPr>
        <w:t>: The exhibition program is informed by our vision to be the inspirational leader for visual arts in South Australia and contribute powerfully to culture in Australia and beyond.</w:t>
      </w:r>
    </w:p>
    <w:p w14:paraId="4B0AE114" w14:textId="77777777" w:rsidR="001D1BBB" w:rsidRPr="00B86BDA" w:rsidRDefault="001D1BBB" w:rsidP="001D1BBB">
      <w:pPr>
        <w:pStyle w:val="NoSpacing"/>
        <w:ind w:left="720"/>
        <w:rPr>
          <w:rFonts w:ascii="Arial" w:hAnsi="Arial" w:cs="Arial"/>
        </w:rPr>
      </w:pPr>
    </w:p>
    <w:p w14:paraId="7B69889D" w14:textId="77777777" w:rsidR="001D1BBB" w:rsidRPr="00B86BDA" w:rsidRDefault="001D1BBB" w:rsidP="001D1BBB">
      <w:pPr>
        <w:pStyle w:val="NoSpacing"/>
        <w:numPr>
          <w:ilvl w:val="0"/>
          <w:numId w:val="3"/>
        </w:numPr>
        <w:ind w:left="709" w:hanging="709"/>
        <w:rPr>
          <w:rFonts w:ascii="Arial" w:hAnsi="Arial" w:cs="Arial"/>
        </w:rPr>
      </w:pPr>
      <w:r w:rsidRPr="00B86BDA">
        <w:rPr>
          <w:rFonts w:ascii="Arial" w:hAnsi="Arial" w:cs="Arial"/>
          <w:u w:val="single"/>
        </w:rPr>
        <w:t>Accessibility and audience development</w:t>
      </w:r>
      <w:r w:rsidRPr="00B86BDA">
        <w:rPr>
          <w:rFonts w:ascii="Arial" w:hAnsi="Arial" w:cs="Arial"/>
        </w:rPr>
        <w:t xml:space="preserve">: The exhibition program </w:t>
      </w:r>
      <w:proofErr w:type="gramStart"/>
      <w:r w:rsidRPr="00B86BDA">
        <w:rPr>
          <w:rFonts w:ascii="Arial" w:hAnsi="Arial" w:cs="Arial"/>
        </w:rPr>
        <w:t>is</w:t>
      </w:r>
      <w:proofErr w:type="gramEnd"/>
      <w:r w:rsidRPr="00B86BDA">
        <w:rPr>
          <w:rFonts w:ascii="Arial" w:hAnsi="Arial" w:cs="Arial"/>
        </w:rPr>
        <w:t xml:space="preserve"> accessible to a diverse audience, is inclusive of both specialist and general audiences and includes free and ticketed exhibitions. Access to existing and new and diverse audiences is enhanced through innovative display methodologies, artist-</w:t>
      </w:r>
      <w:r>
        <w:rPr>
          <w:rFonts w:ascii="Arial" w:hAnsi="Arial" w:cs="Arial"/>
        </w:rPr>
        <w:t>lead and audience-</w:t>
      </w:r>
      <w:r w:rsidRPr="00B86BDA">
        <w:rPr>
          <w:rFonts w:ascii="Arial" w:hAnsi="Arial" w:cs="Arial"/>
        </w:rPr>
        <w:t>focussed curating, relevant public programs, publications that extend the life and impact of the exhibition, new research</w:t>
      </w:r>
      <w:r>
        <w:rPr>
          <w:rFonts w:ascii="Arial" w:hAnsi="Arial" w:cs="Arial"/>
        </w:rPr>
        <w:t>,</w:t>
      </w:r>
      <w:r w:rsidRPr="00B86BDA">
        <w:rPr>
          <w:rFonts w:ascii="Arial" w:hAnsi="Arial" w:cs="Arial"/>
        </w:rPr>
        <w:t xml:space="preserve"> and creative partnerships, nationally relevant school curriculum connections, online platforms including social media</w:t>
      </w:r>
      <w:r>
        <w:rPr>
          <w:rFonts w:ascii="Arial" w:hAnsi="Arial" w:cs="Arial"/>
        </w:rPr>
        <w:t>,</w:t>
      </w:r>
      <w:r w:rsidRPr="00B86BDA">
        <w:rPr>
          <w:rFonts w:ascii="Arial" w:hAnsi="Arial" w:cs="Arial"/>
        </w:rPr>
        <w:t xml:space="preserve"> and bold marketing campaigns.</w:t>
      </w:r>
    </w:p>
    <w:p w14:paraId="1AAAF2C3" w14:textId="77777777" w:rsidR="001D1BBB" w:rsidRPr="00B86BDA" w:rsidRDefault="001D1BBB" w:rsidP="001D1BBB">
      <w:pPr>
        <w:pStyle w:val="NoSpacing"/>
        <w:ind w:left="720"/>
        <w:rPr>
          <w:rFonts w:ascii="Arial" w:hAnsi="Arial" w:cs="Arial"/>
        </w:rPr>
      </w:pPr>
    </w:p>
    <w:p w14:paraId="2B2FE2E8" w14:textId="77777777" w:rsidR="001D1BBB" w:rsidRPr="00B86BDA" w:rsidRDefault="001D1BBB" w:rsidP="001D1BBB">
      <w:pPr>
        <w:pStyle w:val="NoSpacing"/>
        <w:numPr>
          <w:ilvl w:val="0"/>
          <w:numId w:val="3"/>
        </w:numPr>
        <w:ind w:left="709" w:hanging="709"/>
        <w:rPr>
          <w:rFonts w:ascii="Arial" w:hAnsi="Arial" w:cs="Arial"/>
        </w:rPr>
      </w:pPr>
      <w:r w:rsidRPr="00B86BDA">
        <w:rPr>
          <w:rFonts w:ascii="Arial" w:hAnsi="Arial" w:cs="Arial"/>
          <w:u w:val="single"/>
        </w:rPr>
        <w:lastRenderedPageBreak/>
        <w:t>Research, scholarship and interpretation</w:t>
      </w:r>
      <w:r w:rsidRPr="00B86BDA">
        <w:rPr>
          <w:rFonts w:ascii="Arial" w:hAnsi="Arial" w:cs="Arial"/>
        </w:rPr>
        <w:t>: Exhibitions aim to meet the highest standards of curatorial scholarship, introduce new research and present innovative and engaging approaches to interpretation and display.</w:t>
      </w:r>
    </w:p>
    <w:p w14:paraId="67209D5E" w14:textId="77777777" w:rsidR="001D1BBB" w:rsidRPr="00B86BDA" w:rsidRDefault="001D1BBB" w:rsidP="001D1BBB">
      <w:pPr>
        <w:pStyle w:val="NoSpacing"/>
        <w:ind w:left="720"/>
        <w:rPr>
          <w:rFonts w:ascii="Arial" w:hAnsi="Arial" w:cs="Arial"/>
        </w:rPr>
      </w:pPr>
    </w:p>
    <w:p w14:paraId="69421D1A" w14:textId="3D9EFC30" w:rsidR="001D1BBB" w:rsidRPr="00FE182B" w:rsidRDefault="001D1BBB" w:rsidP="001D1BBB">
      <w:pPr>
        <w:pStyle w:val="NoSpacing"/>
        <w:numPr>
          <w:ilvl w:val="0"/>
          <w:numId w:val="3"/>
        </w:numPr>
        <w:ind w:left="709" w:hanging="709"/>
        <w:rPr>
          <w:rFonts w:ascii="Arial" w:hAnsi="Arial" w:cs="Arial"/>
        </w:rPr>
      </w:pPr>
      <w:r w:rsidRPr="00FE182B">
        <w:rPr>
          <w:rFonts w:ascii="Arial" w:hAnsi="Arial" w:cs="Arial"/>
          <w:u w:val="single"/>
        </w:rPr>
        <w:t>Collection amplification</w:t>
      </w:r>
      <w:r w:rsidRPr="00FE182B">
        <w:rPr>
          <w:rFonts w:ascii="Arial" w:hAnsi="Arial" w:cs="Arial"/>
        </w:rPr>
        <w:t xml:space="preserve">: Exhibitions aim to highlight, contextualise, interrogate or enable greater access to </w:t>
      </w:r>
      <w:proofErr w:type="gramStart"/>
      <w:r w:rsidRPr="00FE182B">
        <w:rPr>
          <w:rFonts w:ascii="Arial" w:hAnsi="Arial" w:cs="Arial"/>
        </w:rPr>
        <w:t>works</w:t>
      </w:r>
      <w:proofErr w:type="gramEnd"/>
      <w:r w:rsidRPr="00FE182B">
        <w:rPr>
          <w:rFonts w:ascii="Arial" w:hAnsi="Arial" w:cs="Arial"/>
        </w:rPr>
        <w:t xml:space="preserve"> from AGSA’s collection. They can also provide an opportunity for collection development, in accordance with </w:t>
      </w:r>
      <w:r w:rsidR="00254FFB">
        <w:rPr>
          <w:rFonts w:ascii="Arial" w:hAnsi="Arial" w:cs="Arial"/>
        </w:rPr>
        <w:t>AGSA’s</w:t>
      </w:r>
      <w:r w:rsidRPr="00FE182B">
        <w:rPr>
          <w:rFonts w:ascii="Arial" w:hAnsi="Arial" w:cs="Arial"/>
        </w:rPr>
        <w:t xml:space="preserve"> Acquisition Policy. To quote Tate</w:t>
      </w:r>
      <w:r>
        <w:rPr>
          <w:rFonts w:ascii="Arial" w:hAnsi="Arial" w:cs="Arial"/>
        </w:rPr>
        <w:t>,</w:t>
      </w:r>
      <w:r w:rsidRPr="00FE182B">
        <w:rPr>
          <w:rFonts w:ascii="Arial" w:hAnsi="Arial" w:cs="Arial"/>
        </w:rPr>
        <w:t xml:space="preserve"> ‘</w:t>
      </w:r>
      <w:r w:rsidRPr="006376E7">
        <w:rPr>
          <w:rFonts w:ascii="Arial" w:hAnsi="Arial" w:cs="Arial"/>
        </w:rPr>
        <w:t xml:space="preserve">Exhibitions are emphatic acts of speech within an ongoing conversation constructed by collection and </w:t>
      </w:r>
      <w:proofErr w:type="gramStart"/>
      <w:r w:rsidRPr="006376E7">
        <w:rPr>
          <w:rFonts w:ascii="Arial" w:hAnsi="Arial" w:cs="Arial"/>
        </w:rPr>
        <w:t>displays</w:t>
      </w:r>
      <w:r>
        <w:rPr>
          <w:rFonts w:ascii="Arial" w:hAnsi="Arial" w:cs="Arial"/>
        </w:rPr>
        <w:t>’</w:t>
      </w:r>
      <w:proofErr w:type="gramEnd"/>
      <w:r>
        <w:rPr>
          <w:rFonts w:ascii="Arial" w:hAnsi="Arial" w:cs="Arial"/>
        </w:rPr>
        <w:t>.</w:t>
      </w:r>
    </w:p>
    <w:p w14:paraId="28635540" w14:textId="77777777" w:rsidR="001D1BBB" w:rsidRPr="00B86BDA" w:rsidRDefault="001D1BBB" w:rsidP="001D1BBB">
      <w:pPr>
        <w:pStyle w:val="NoSpacing"/>
        <w:ind w:left="720"/>
        <w:rPr>
          <w:rFonts w:ascii="Arial" w:hAnsi="Arial" w:cs="Arial"/>
        </w:rPr>
      </w:pPr>
    </w:p>
    <w:p w14:paraId="05CA33D2" w14:textId="77777777" w:rsidR="001D1BBB" w:rsidRPr="00B86BDA" w:rsidRDefault="001D1BBB" w:rsidP="001D1BBB">
      <w:pPr>
        <w:pStyle w:val="NoSpacing"/>
        <w:numPr>
          <w:ilvl w:val="0"/>
          <w:numId w:val="3"/>
        </w:numPr>
        <w:ind w:left="709" w:hanging="709"/>
        <w:rPr>
          <w:rFonts w:ascii="Arial" w:hAnsi="Arial" w:cs="Arial"/>
        </w:rPr>
      </w:pPr>
      <w:r>
        <w:rPr>
          <w:rFonts w:ascii="Arial" w:hAnsi="Arial" w:cs="Arial"/>
          <w:u w:val="single"/>
        </w:rPr>
        <w:t>Financial Management</w:t>
      </w:r>
      <w:r>
        <w:rPr>
          <w:rFonts w:ascii="Arial" w:hAnsi="Arial" w:cs="Arial"/>
        </w:rPr>
        <w:t>: The f</w:t>
      </w:r>
      <w:r w:rsidRPr="00B86BDA">
        <w:rPr>
          <w:rFonts w:ascii="Arial" w:hAnsi="Arial" w:cs="Arial"/>
        </w:rPr>
        <w:t>inancial feasibility</w:t>
      </w:r>
      <w:r>
        <w:rPr>
          <w:rFonts w:ascii="Arial" w:hAnsi="Arial" w:cs="Arial"/>
        </w:rPr>
        <w:t xml:space="preserve"> of exhibitions</w:t>
      </w:r>
      <w:r w:rsidRPr="00B86BDA">
        <w:rPr>
          <w:rFonts w:ascii="Arial" w:hAnsi="Arial" w:cs="Arial"/>
        </w:rPr>
        <w:t xml:space="preserve"> must be fully interrogated prior to commencement. This includes consideration of:</w:t>
      </w:r>
    </w:p>
    <w:p w14:paraId="3932C247" w14:textId="77777777" w:rsidR="001D1BBB" w:rsidRPr="00B86BDA" w:rsidRDefault="001D1BBB" w:rsidP="001D1BBB">
      <w:pPr>
        <w:pStyle w:val="NoSpacing"/>
        <w:numPr>
          <w:ilvl w:val="0"/>
          <w:numId w:val="6"/>
        </w:numPr>
        <w:ind w:left="1134" w:hanging="425"/>
        <w:rPr>
          <w:rFonts w:ascii="Arial" w:hAnsi="Arial" w:cs="Arial"/>
        </w:rPr>
      </w:pPr>
      <w:r w:rsidRPr="00B86BDA">
        <w:rPr>
          <w:rFonts w:ascii="Arial" w:hAnsi="Arial" w:cs="Arial"/>
        </w:rPr>
        <w:t>projected financial outcomes</w:t>
      </w:r>
    </w:p>
    <w:p w14:paraId="6B53E01A" w14:textId="77777777" w:rsidR="001D1BBB" w:rsidRPr="00B86BDA" w:rsidRDefault="001D1BBB" w:rsidP="001D1BBB">
      <w:pPr>
        <w:pStyle w:val="NoSpacing"/>
        <w:numPr>
          <w:ilvl w:val="0"/>
          <w:numId w:val="6"/>
        </w:numPr>
        <w:ind w:left="1134" w:hanging="425"/>
        <w:rPr>
          <w:rFonts w:ascii="Arial" w:hAnsi="Arial" w:cs="Arial"/>
        </w:rPr>
      </w:pPr>
      <w:r w:rsidRPr="00B86BDA">
        <w:rPr>
          <w:rFonts w:ascii="Arial" w:hAnsi="Arial" w:cs="Arial"/>
        </w:rPr>
        <w:t>balancing the need for ticket revenue with audience engagement and artist exposure</w:t>
      </w:r>
    </w:p>
    <w:p w14:paraId="0BC93C23" w14:textId="77777777" w:rsidR="001D1BBB" w:rsidRDefault="001D1BBB" w:rsidP="001D1BBB">
      <w:pPr>
        <w:pStyle w:val="NoSpacing"/>
        <w:numPr>
          <w:ilvl w:val="0"/>
          <w:numId w:val="6"/>
        </w:numPr>
        <w:ind w:left="1134" w:hanging="425"/>
        <w:rPr>
          <w:rFonts w:ascii="Arial" w:hAnsi="Arial" w:cs="Arial"/>
        </w:rPr>
      </w:pPr>
      <w:r w:rsidRPr="00B86BDA">
        <w:rPr>
          <w:rFonts w:ascii="Arial" w:hAnsi="Arial" w:cs="Arial"/>
        </w:rPr>
        <w:t>ensuring adequate funding and resources are provided</w:t>
      </w:r>
    </w:p>
    <w:p w14:paraId="4214B367" w14:textId="77777777" w:rsidR="001D1BBB" w:rsidRPr="00B86BDA" w:rsidRDefault="001D1BBB" w:rsidP="001D1BBB">
      <w:pPr>
        <w:pStyle w:val="NoSpacing"/>
        <w:numPr>
          <w:ilvl w:val="0"/>
          <w:numId w:val="6"/>
        </w:numPr>
        <w:ind w:left="1134" w:hanging="425"/>
        <w:rPr>
          <w:rFonts w:ascii="Arial" w:hAnsi="Arial" w:cs="Arial"/>
        </w:rPr>
      </w:pPr>
      <w:r>
        <w:rPr>
          <w:rFonts w:ascii="Arial" w:hAnsi="Arial" w:cs="Arial"/>
        </w:rPr>
        <w:t>rigorous assessment of potential audience</w:t>
      </w:r>
    </w:p>
    <w:p w14:paraId="2F334219" w14:textId="77777777" w:rsidR="001D1BBB" w:rsidRPr="00B86BDA" w:rsidRDefault="001D1BBB" w:rsidP="001D1BBB">
      <w:pPr>
        <w:pStyle w:val="NoSpacing"/>
        <w:ind w:left="720"/>
        <w:rPr>
          <w:rFonts w:ascii="Arial" w:hAnsi="Arial" w:cs="Arial"/>
        </w:rPr>
      </w:pPr>
    </w:p>
    <w:p w14:paraId="5C7B7E17" w14:textId="77777777" w:rsidR="001D1BBB" w:rsidRPr="00B86BDA" w:rsidRDefault="001D1BBB" w:rsidP="001D1BBB">
      <w:pPr>
        <w:pStyle w:val="NoSpacing"/>
        <w:numPr>
          <w:ilvl w:val="0"/>
          <w:numId w:val="3"/>
        </w:numPr>
        <w:ind w:left="709" w:hanging="709"/>
        <w:rPr>
          <w:rFonts w:ascii="Arial" w:hAnsi="Arial" w:cs="Arial"/>
        </w:rPr>
      </w:pPr>
      <w:r w:rsidRPr="00B86BDA">
        <w:rPr>
          <w:rFonts w:ascii="Arial" w:hAnsi="Arial" w:cs="Arial"/>
          <w:u w:val="single"/>
        </w:rPr>
        <w:t>Resources</w:t>
      </w:r>
      <w:r w:rsidRPr="00B86BDA">
        <w:rPr>
          <w:rFonts w:ascii="Arial" w:hAnsi="Arial" w:cs="Arial"/>
        </w:rPr>
        <w:t>: The exhibition program is planned and implemented with regard for:</w:t>
      </w:r>
    </w:p>
    <w:p w14:paraId="08A11D5D" w14:textId="77777777" w:rsidR="001D1BBB" w:rsidRPr="00B86BDA" w:rsidRDefault="001D1BBB" w:rsidP="001D1BBB">
      <w:pPr>
        <w:pStyle w:val="NoSpacing"/>
        <w:numPr>
          <w:ilvl w:val="0"/>
          <w:numId w:val="2"/>
        </w:numPr>
        <w:ind w:left="1134" w:hanging="425"/>
        <w:rPr>
          <w:rFonts w:ascii="Arial" w:hAnsi="Arial" w:cs="Arial"/>
        </w:rPr>
      </w:pPr>
      <w:r w:rsidRPr="00B86BDA">
        <w:rPr>
          <w:rFonts w:ascii="Arial" w:hAnsi="Arial" w:cs="Arial"/>
        </w:rPr>
        <w:t>human, material</w:t>
      </w:r>
      <w:r>
        <w:rPr>
          <w:rFonts w:ascii="Arial" w:hAnsi="Arial" w:cs="Arial"/>
        </w:rPr>
        <w:t xml:space="preserve"> and</w:t>
      </w:r>
      <w:r w:rsidRPr="00B86BDA">
        <w:rPr>
          <w:rFonts w:ascii="Arial" w:hAnsi="Arial" w:cs="Arial"/>
        </w:rPr>
        <w:t xml:space="preserve"> environmental resource management and sustainability</w:t>
      </w:r>
    </w:p>
    <w:p w14:paraId="27F02691" w14:textId="77777777" w:rsidR="001D1BBB" w:rsidRPr="00B86BDA" w:rsidRDefault="001D1BBB" w:rsidP="001D1BBB">
      <w:pPr>
        <w:pStyle w:val="NoSpacing"/>
        <w:numPr>
          <w:ilvl w:val="0"/>
          <w:numId w:val="2"/>
        </w:numPr>
        <w:ind w:left="1134" w:hanging="447"/>
        <w:rPr>
          <w:rFonts w:ascii="Arial" w:hAnsi="Arial" w:cs="Arial"/>
        </w:rPr>
      </w:pPr>
      <w:r w:rsidRPr="00B86BDA">
        <w:rPr>
          <w:rFonts w:ascii="Arial" w:hAnsi="Arial" w:cs="Arial"/>
        </w:rPr>
        <w:t>existing and future priorities and commitments</w:t>
      </w:r>
    </w:p>
    <w:p w14:paraId="430461D7" w14:textId="77777777" w:rsidR="001D1BBB" w:rsidRPr="00B86BDA" w:rsidRDefault="001D1BBB" w:rsidP="001D1BBB">
      <w:pPr>
        <w:pStyle w:val="NoSpacing"/>
        <w:numPr>
          <w:ilvl w:val="0"/>
          <w:numId w:val="2"/>
        </w:numPr>
        <w:ind w:left="1134" w:hanging="425"/>
        <w:rPr>
          <w:rFonts w:ascii="Arial" w:hAnsi="Arial" w:cs="Arial"/>
        </w:rPr>
      </w:pPr>
      <w:r w:rsidRPr="00B86BDA">
        <w:rPr>
          <w:rFonts w:ascii="Arial" w:hAnsi="Arial" w:cs="Arial"/>
        </w:rPr>
        <w:t>strategic management of risks</w:t>
      </w:r>
    </w:p>
    <w:p w14:paraId="1A2A54CB" w14:textId="77777777" w:rsidR="001D1BBB" w:rsidRPr="00B86BDA" w:rsidRDefault="001D1BBB" w:rsidP="001D1BBB">
      <w:pPr>
        <w:pStyle w:val="NoSpacing"/>
        <w:ind w:left="720"/>
        <w:rPr>
          <w:rFonts w:ascii="Arial" w:hAnsi="Arial" w:cs="Arial"/>
        </w:rPr>
      </w:pPr>
    </w:p>
    <w:p w14:paraId="6503A17F" w14:textId="77777777" w:rsidR="001D1BBB" w:rsidRPr="00B86BDA" w:rsidRDefault="001D1BBB" w:rsidP="001D1BBB">
      <w:pPr>
        <w:pStyle w:val="NoSpacing"/>
        <w:numPr>
          <w:ilvl w:val="0"/>
          <w:numId w:val="3"/>
        </w:numPr>
        <w:ind w:left="709" w:hanging="709"/>
        <w:rPr>
          <w:rFonts w:ascii="Arial" w:hAnsi="Arial" w:cs="Arial"/>
        </w:rPr>
      </w:pPr>
      <w:r w:rsidRPr="00B86BDA">
        <w:rPr>
          <w:rFonts w:ascii="Arial" w:hAnsi="Arial" w:cs="Arial"/>
          <w:u w:val="single"/>
        </w:rPr>
        <w:t>Reconciliation</w:t>
      </w:r>
      <w:r w:rsidRPr="00B86BDA">
        <w:rPr>
          <w:rFonts w:ascii="Arial" w:hAnsi="Arial" w:cs="Arial"/>
        </w:rPr>
        <w:t>: as stated in the Reconciliation Action Plan, AGSA recognises the importance of art and specifically exhibitions in fostering the cultural understanding and respect that are vital to reconciliation across the broader community. We understand that Aboriginal and Torres Strait Islander art is not separate from the national story</w:t>
      </w:r>
      <w:r>
        <w:rPr>
          <w:rFonts w:ascii="Arial" w:hAnsi="Arial" w:cs="Arial"/>
        </w:rPr>
        <w:t>,</w:t>
      </w:r>
      <w:r w:rsidRPr="00B86BDA">
        <w:rPr>
          <w:rFonts w:ascii="Arial" w:hAnsi="Arial" w:cs="Arial"/>
        </w:rPr>
        <w:t xml:space="preserve"> but an essential part of it. </w:t>
      </w:r>
      <w:r>
        <w:rPr>
          <w:rFonts w:ascii="Arial" w:hAnsi="Arial" w:cs="Arial"/>
        </w:rPr>
        <w:t>AGSA is</w:t>
      </w:r>
      <w:r w:rsidRPr="00B86BDA">
        <w:rPr>
          <w:rFonts w:ascii="Arial" w:hAnsi="Arial" w:cs="Arial"/>
        </w:rPr>
        <w:t xml:space="preserve"> committed to the ethical and </w:t>
      </w:r>
      <w:proofErr w:type="gramStart"/>
      <w:r w:rsidRPr="00B86BDA">
        <w:rPr>
          <w:rFonts w:ascii="Arial" w:hAnsi="Arial" w:cs="Arial"/>
        </w:rPr>
        <w:t>culturally</w:t>
      </w:r>
      <w:r>
        <w:rPr>
          <w:rFonts w:ascii="Arial" w:hAnsi="Arial" w:cs="Arial"/>
        </w:rPr>
        <w:t>-</w:t>
      </w:r>
      <w:r w:rsidRPr="00B86BDA">
        <w:rPr>
          <w:rFonts w:ascii="Arial" w:hAnsi="Arial" w:cs="Arial"/>
        </w:rPr>
        <w:t>sensitive</w:t>
      </w:r>
      <w:proofErr w:type="gramEnd"/>
      <w:r w:rsidRPr="00B86BDA">
        <w:rPr>
          <w:rFonts w:ascii="Arial" w:hAnsi="Arial" w:cs="Arial"/>
        </w:rPr>
        <w:t xml:space="preserve"> research and presentation throughout the exhibition</w:t>
      </w:r>
      <w:r>
        <w:rPr>
          <w:rFonts w:ascii="Arial" w:hAnsi="Arial" w:cs="Arial"/>
        </w:rPr>
        <w:t>-</w:t>
      </w:r>
      <w:r w:rsidRPr="00B86BDA">
        <w:rPr>
          <w:rFonts w:ascii="Arial" w:hAnsi="Arial" w:cs="Arial"/>
        </w:rPr>
        <w:t>making process.</w:t>
      </w:r>
    </w:p>
    <w:p w14:paraId="5757765A" w14:textId="77777777" w:rsidR="001D1BBB" w:rsidRPr="00B86BDA" w:rsidRDefault="001D1BBB" w:rsidP="001D1BBB">
      <w:pPr>
        <w:pStyle w:val="NoSpacing"/>
        <w:ind w:left="720"/>
        <w:rPr>
          <w:rFonts w:ascii="Arial" w:hAnsi="Arial" w:cs="Arial"/>
        </w:rPr>
      </w:pPr>
    </w:p>
    <w:p w14:paraId="51644624" w14:textId="2CB88B10" w:rsidR="001D1BBB" w:rsidRPr="00B86BDA" w:rsidRDefault="001D1BBB" w:rsidP="001D1BBB">
      <w:pPr>
        <w:pStyle w:val="NoSpacing"/>
        <w:numPr>
          <w:ilvl w:val="0"/>
          <w:numId w:val="3"/>
        </w:numPr>
        <w:ind w:left="709" w:hanging="709"/>
        <w:rPr>
          <w:rFonts w:ascii="Arial" w:hAnsi="Arial" w:cs="Arial"/>
        </w:rPr>
      </w:pPr>
      <w:r w:rsidRPr="00B86BDA">
        <w:rPr>
          <w:rFonts w:ascii="Arial" w:hAnsi="Arial" w:cs="Arial"/>
          <w:u w:val="single"/>
        </w:rPr>
        <w:t>Partnerships</w:t>
      </w:r>
      <w:r w:rsidRPr="00B86BDA">
        <w:rPr>
          <w:rFonts w:ascii="Arial" w:hAnsi="Arial" w:cs="Arial"/>
        </w:rPr>
        <w:t>: The exhibition program supports the development, expansion and strengthening of important partnerships and alliances with key national and international galleries</w:t>
      </w:r>
      <w:r>
        <w:rPr>
          <w:rFonts w:ascii="Arial" w:hAnsi="Arial" w:cs="Arial"/>
        </w:rPr>
        <w:t>, museums</w:t>
      </w:r>
      <w:r w:rsidRPr="00B86BDA">
        <w:rPr>
          <w:rFonts w:ascii="Arial" w:hAnsi="Arial" w:cs="Arial"/>
        </w:rPr>
        <w:t xml:space="preserve">, festivals and touring organisations. The exhibition program is aligned with </w:t>
      </w:r>
      <w:r>
        <w:rPr>
          <w:rFonts w:ascii="Arial" w:hAnsi="Arial" w:cs="Arial"/>
        </w:rPr>
        <w:t xml:space="preserve">South Australia’s </w:t>
      </w:r>
      <w:r w:rsidRPr="00B86BDA">
        <w:rPr>
          <w:rFonts w:ascii="Arial" w:hAnsi="Arial" w:cs="Arial"/>
        </w:rPr>
        <w:t>state goals and priorities</w:t>
      </w:r>
      <w:r>
        <w:rPr>
          <w:rFonts w:ascii="Arial" w:hAnsi="Arial" w:cs="Arial"/>
        </w:rPr>
        <w:t>.</w:t>
      </w:r>
    </w:p>
    <w:p w14:paraId="0EE3BF0E" w14:textId="77777777" w:rsidR="001D1BBB" w:rsidRDefault="001D1BBB" w:rsidP="001D1BBB">
      <w:pPr>
        <w:pStyle w:val="NoSpacing"/>
        <w:rPr>
          <w:rFonts w:ascii="Arial" w:hAnsi="Arial" w:cs="Arial"/>
        </w:rPr>
      </w:pPr>
    </w:p>
    <w:p w14:paraId="522525BF" w14:textId="77777777" w:rsidR="001D1BBB" w:rsidRPr="0091448D" w:rsidRDefault="001D1BBB" w:rsidP="001D1BBB">
      <w:pPr>
        <w:ind w:hanging="567"/>
        <w:rPr>
          <w:rFonts w:ascii="Arial" w:hAnsi="Arial" w:cs="Arial"/>
          <w:b/>
        </w:rPr>
      </w:pPr>
      <w:r>
        <w:rPr>
          <w:rFonts w:ascii="Arial" w:hAnsi="Arial" w:cs="Arial"/>
          <w:b/>
        </w:rPr>
        <w:t>4</w:t>
      </w:r>
      <w:r w:rsidRPr="0091448D">
        <w:rPr>
          <w:rFonts w:ascii="Arial" w:hAnsi="Arial" w:cs="Arial"/>
          <w:b/>
        </w:rPr>
        <w:t>.</w:t>
      </w:r>
      <w:r w:rsidRPr="0091448D">
        <w:rPr>
          <w:rFonts w:ascii="Arial" w:hAnsi="Arial" w:cs="Arial"/>
          <w:b/>
        </w:rPr>
        <w:tab/>
      </w:r>
      <w:r>
        <w:rPr>
          <w:rFonts w:ascii="Arial" w:hAnsi="Arial" w:cs="Arial"/>
          <w:b/>
        </w:rPr>
        <w:t>Exhibition Models</w:t>
      </w:r>
    </w:p>
    <w:p w14:paraId="7625E9EC" w14:textId="77777777" w:rsidR="001D1BBB" w:rsidRDefault="001D1BBB" w:rsidP="001D1BBB">
      <w:pPr>
        <w:pStyle w:val="NoSpacing"/>
        <w:rPr>
          <w:rFonts w:ascii="Arial" w:hAnsi="Arial" w:cs="Arial"/>
        </w:rPr>
      </w:pPr>
    </w:p>
    <w:p w14:paraId="278C0543" w14:textId="77777777" w:rsidR="001D1BBB" w:rsidRPr="00B86BDA" w:rsidRDefault="001D1BBB" w:rsidP="001D1BBB">
      <w:pPr>
        <w:pStyle w:val="NoSpacing"/>
        <w:rPr>
          <w:rFonts w:ascii="Arial" w:hAnsi="Arial" w:cs="Arial"/>
        </w:rPr>
      </w:pPr>
      <w:r w:rsidRPr="00B86BDA">
        <w:rPr>
          <w:rFonts w:ascii="Arial" w:hAnsi="Arial" w:cs="Arial"/>
        </w:rPr>
        <w:t xml:space="preserve">AGSA implements </w:t>
      </w:r>
      <w:proofErr w:type="gramStart"/>
      <w:r w:rsidRPr="00B86BDA">
        <w:rPr>
          <w:rFonts w:ascii="Arial" w:hAnsi="Arial" w:cs="Arial"/>
        </w:rPr>
        <w:t>a number of</w:t>
      </w:r>
      <w:proofErr w:type="gramEnd"/>
      <w:r w:rsidRPr="00B86BDA">
        <w:rPr>
          <w:rFonts w:ascii="Arial" w:hAnsi="Arial" w:cs="Arial"/>
        </w:rPr>
        <w:t xml:space="preserve"> exhibition models in its programming. These include, but are not limited to:</w:t>
      </w:r>
    </w:p>
    <w:p w14:paraId="41B29F00" w14:textId="77777777" w:rsidR="001D1BBB" w:rsidRPr="00B86BDA" w:rsidRDefault="001D1BBB" w:rsidP="001D1BBB">
      <w:pPr>
        <w:pStyle w:val="NoSpacing"/>
        <w:ind w:left="720"/>
        <w:rPr>
          <w:rFonts w:ascii="Arial" w:hAnsi="Arial" w:cs="Arial"/>
        </w:rPr>
      </w:pPr>
    </w:p>
    <w:p w14:paraId="7C8A9DA9" w14:textId="77777777" w:rsidR="001D1BBB" w:rsidRPr="00B86BDA" w:rsidRDefault="001D1BBB" w:rsidP="001D1BBB">
      <w:pPr>
        <w:pStyle w:val="NoSpacing"/>
        <w:numPr>
          <w:ilvl w:val="0"/>
          <w:numId w:val="4"/>
        </w:numPr>
        <w:ind w:left="709" w:hanging="709"/>
        <w:rPr>
          <w:rFonts w:ascii="Arial" w:hAnsi="Arial" w:cs="Arial"/>
        </w:rPr>
      </w:pPr>
      <w:r w:rsidRPr="00B86BDA">
        <w:rPr>
          <w:rFonts w:ascii="Arial" w:hAnsi="Arial" w:cs="Arial"/>
        </w:rPr>
        <w:t xml:space="preserve">Ticketed exhibitions with broad appeal that develop </w:t>
      </w:r>
      <w:r>
        <w:rPr>
          <w:rFonts w:ascii="Arial" w:hAnsi="Arial" w:cs="Arial"/>
        </w:rPr>
        <w:t>AGSA</w:t>
      </w:r>
      <w:r w:rsidRPr="00B86BDA">
        <w:rPr>
          <w:rFonts w:ascii="Arial" w:hAnsi="Arial" w:cs="Arial"/>
        </w:rPr>
        <w:t>’s profile, support</w:t>
      </w:r>
      <w:r>
        <w:rPr>
          <w:rFonts w:ascii="Arial" w:hAnsi="Arial" w:cs="Arial"/>
        </w:rPr>
        <w:t>s</w:t>
      </w:r>
      <w:r w:rsidRPr="00B86BDA">
        <w:rPr>
          <w:rFonts w:ascii="Arial" w:hAnsi="Arial" w:cs="Arial"/>
        </w:rPr>
        <w:t xml:space="preserve"> the promotion</w:t>
      </w:r>
      <w:r>
        <w:rPr>
          <w:rFonts w:ascii="Arial" w:hAnsi="Arial" w:cs="Arial"/>
        </w:rPr>
        <w:t xml:space="preserve"> of</w:t>
      </w:r>
      <w:r w:rsidRPr="00B86BDA">
        <w:rPr>
          <w:rFonts w:ascii="Arial" w:hAnsi="Arial" w:cs="Arial"/>
        </w:rPr>
        <w:t xml:space="preserve"> the city and position</w:t>
      </w:r>
      <w:r>
        <w:rPr>
          <w:rFonts w:ascii="Arial" w:hAnsi="Arial" w:cs="Arial"/>
        </w:rPr>
        <w:t>s</w:t>
      </w:r>
      <w:r w:rsidRPr="00B86BDA">
        <w:rPr>
          <w:rFonts w:ascii="Arial" w:hAnsi="Arial" w:cs="Arial"/>
        </w:rPr>
        <w:t xml:space="preserve"> the state of South Australia as a major cultural destination.</w:t>
      </w:r>
    </w:p>
    <w:p w14:paraId="6CCF545A" w14:textId="77777777" w:rsidR="001D1BBB" w:rsidRPr="00B86BDA" w:rsidRDefault="001D1BBB" w:rsidP="001D1BBB">
      <w:pPr>
        <w:pStyle w:val="NoSpacing"/>
        <w:ind w:left="720"/>
        <w:rPr>
          <w:rFonts w:ascii="Arial" w:hAnsi="Arial" w:cs="Arial"/>
        </w:rPr>
      </w:pPr>
    </w:p>
    <w:p w14:paraId="68E3F98D" w14:textId="77777777" w:rsidR="001D1BBB" w:rsidRPr="00B86BDA" w:rsidRDefault="001D1BBB" w:rsidP="001D1BBB">
      <w:pPr>
        <w:pStyle w:val="NoSpacing"/>
        <w:numPr>
          <w:ilvl w:val="0"/>
          <w:numId w:val="4"/>
        </w:numPr>
        <w:ind w:left="709" w:hanging="709"/>
        <w:rPr>
          <w:rFonts w:ascii="Arial" w:hAnsi="Arial" w:cs="Arial"/>
        </w:rPr>
      </w:pPr>
      <w:r w:rsidRPr="00B86BDA">
        <w:rPr>
          <w:rFonts w:ascii="Arial" w:hAnsi="Arial" w:cs="Arial"/>
        </w:rPr>
        <w:t xml:space="preserve">Biennial and recurring exhibitions </w:t>
      </w:r>
      <w:r>
        <w:rPr>
          <w:rFonts w:ascii="Arial" w:hAnsi="Arial" w:cs="Arial"/>
        </w:rPr>
        <w:t xml:space="preserve">dedicated to contemporary Australian art, </w:t>
      </w:r>
      <w:r w:rsidRPr="00B86BDA">
        <w:rPr>
          <w:rFonts w:ascii="Arial" w:hAnsi="Arial" w:cs="Arial"/>
        </w:rPr>
        <w:t xml:space="preserve">such as the Adelaide Biennial of Australian Art, the Ramsay Art Prize and </w:t>
      </w:r>
      <w:proofErr w:type="spellStart"/>
      <w:r w:rsidRPr="00B86BDA">
        <w:rPr>
          <w:rFonts w:ascii="Arial" w:hAnsi="Arial" w:cs="Arial"/>
        </w:rPr>
        <w:t>Tarnanthi</w:t>
      </w:r>
      <w:proofErr w:type="spellEnd"/>
      <w:r w:rsidRPr="00B86BDA">
        <w:rPr>
          <w:rFonts w:ascii="Arial" w:hAnsi="Arial" w:cs="Arial"/>
        </w:rPr>
        <w:t>.</w:t>
      </w:r>
    </w:p>
    <w:p w14:paraId="0CE995FB" w14:textId="77777777" w:rsidR="001D1BBB" w:rsidRPr="00B86BDA" w:rsidRDefault="001D1BBB" w:rsidP="001D1BBB">
      <w:pPr>
        <w:pStyle w:val="NoSpacing"/>
        <w:ind w:left="720"/>
        <w:rPr>
          <w:rFonts w:ascii="Arial" w:hAnsi="Arial" w:cs="Arial"/>
        </w:rPr>
      </w:pPr>
    </w:p>
    <w:p w14:paraId="782B660B" w14:textId="77777777" w:rsidR="001D1BBB" w:rsidRPr="00B86BDA" w:rsidRDefault="001D1BBB" w:rsidP="001D1BBB">
      <w:pPr>
        <w:pStyle w:val="NoSpacing"/>
        <w:numPr>
          <w:ilvl w:val="0"/>
          <w:numId w:val="4"/>
        </w:numPr>
        <w:ind w:left="709" w:hanging="709"/>
        <w:rPr>
          <w:rFonts w:ascii="Arial" w:hAnsi="Arial" w:cs="Arial"/>
        </w:rPr>
      </w:pPr>
      <w:r w:rsidRPr="00B86BDA">
        <w:rPr>
          <w:rFonts w:ascii="Arial" w:hAnsi="Arial" w:cs="Arial"/>
        </w:rPr>
        <w:lastRenderedPageBreak/>
        <w:t>Monographic, survey or thematic exhibitions that recognise the contribution of individual artists,</w:t>
      </w:r>
      <w:r>
        <w:rPr>
          <w:rFonts w:ascii="Arial" w:hAnsi="Arial" w:cs="Arial"/>
        </w:rPr>
        <w:t xml:space="preserve"> </w:t>
      </w:r>
      <w:r w:rsidRPr="00B86BDA">
        <w:rPr>
          <w:rFonts w:ascii="Arial" w:hAnsi="Arial" w:cs="Arial"/>
        </w:rPr>
        <w:t>collectives or groups of artists, including South Australian artists. These may be ticketed</w:t>
      </w:r>
      <w:r>
        <w:rPr>
          <w:rFonts w:ascii="Arial" w:hAnsi="Arial" w:cs="Arial"/>
        </w:rPr>
        <w:t xml:space="preserve"> or non-ticketed</w:t>
      </w:r>
      <w:r w:rsidRPr="00B86BDA">
        <w:rPr>
          <w:rFonts w:ascii="Arial" w:hAnsi="Arial" w:cs="Arial"/>
        </w:rPr>
        <w:t xml:space="preserve"> offerings.</w:t>
      </w:r>
    </w:p>
    <w:p w14:paraId="33F6A61D" w14:textId="77777777" w:rsidR="001D1BBB" w:rsidRPr="00B86BDA" w:rsidRDefault="001D1BBB" w:rsidP="001D1BBB">
      <w:pPr>
        <w:pStyle w:val="NoSpacing"/>
        <w:ind w:left="720"/>
        <w:rPr>
          <w:rFonts w:ascii="Arial" w:hAnsi="Arial" w:cs="Arial"/>
        </w:rPr>
      </w:pPr>
    </w:p>
    <w:p w14:paraId="184F7297" w14:textId="77777777" w:rsidR="001D1BBB" w:rsidRPr="00B86BDA" w:rsidRDefault="001D1BBB" w:rsidP="001D1BBB">
      <w:pPr>
        <w:pStyle w:val="NoSpacing"/>
        <w:numPr>
          <w:ilvl w:val="0"/>
          <w:numId w:val="4"/>
        </w:numPr>
        <w:ind w:left="709" w:hanging="709"/>
        <w:rPr>
          <w:rFonts w:ascii="Arial" w:hAnsi="Arial" w:cs="Arial"/>
        </w:rPr>
      </w:pPr>
      <w:r w:rsidRPr="00B86BDA">
        <w:rPr>
          <w:rFonts w:ascii="Arial" w:hAnsi="Arial" w:cs="Arial"/>
        </w:rPr>
        <w:t xml:space="preserve">Exhibitions that provide a platform for new work, mobilise responses to the collection and/or encourage conversations with </w:t>
      </w:r>
      <w:r>
        <w:rPr>
          <w:rFonts w:ascii="Arial" w:hAnsi="Arial" w:cs="Arial"/>
        </w:rPr>
        <w:t>f</w:t>
      </w:r>
      <w:r w:rsidRPr="00B86BDA">
        <w:rPr>
          <w:rFonts w:ascii="Arial" w:hAnsi="Arial" w:cs="Arial"/>
        </w:rPr>
        <w:t>estivals, major events</w:t>
      </w:r>
      <w:r>
        <w:rPr>
          <w:rFonts w:ascii="Arial" w:hAnsi="Arial" w:cs="Arial"/>
        </w:rPr>
        <w:t>, partners</w:t>
      </w:r>
      <w:r w:rsidRPr="00B86BDA">
        <w:rPr>
          <w:rFonts w:ascii="Arial" w:hAnsi="Arial" w:cs="Arial"/>
        </w:rPr>
        <w:t xml:space="preserve"> and other art forms.</w:t>
      </w:r>
    </w:p>
    <w:p w14:paraId="3AEBCC58" w14:textId="77777777" w:rsidR="001D1BBB" w:rsidRPr="00B86BDA" w:rsidRDefault="001D1BBB" w:rsidP="001D1BBB">
      <w:pPr>
        <w:pStyle w:val="NoSpacing"/>
        <w:ind w:left="720"/>
        <w:rPr>
          <w:rFonts w:ascii="Arial" w:hAnsi="Arial" w:cs="Arial"/>
        </w:rPr>
      </w:pPr>
    </w:p>
    <w:p w14:paraId="030B1C5F" w14:textId="77777777" w:rsidR="001D1BBB" w:rsidRPr="00B86BDA" w:rsidRDefault="001D1BBB" w:rsidP="001D1BBB">
      <w:pPr>
        <w:pStyle w:val="NoSpacing"/>
        <w:numPr>
          <w:ilvl w:val="0"/>
          <w:numId w:val="4"/>
        </w:numPr>
        <w:ind w:left="709" w:hanging="709"/>
        <w:rPr>
          <w:rFonts w:ascii="Arial" w:hAnsi="Arial" w:cs="Arial"/>
        </w:rPr>
      </w:pPr>
      <w:r w:rsidRPr="00B86BDA">
        <w:rPr>
          <w:rFonts w:ascii="Arial" w:hAnsi="Arial" w:cs="Arial"/>
        </w:rPr>
        <w:t>Exhibitions developed by AGSA or other galleries</w:t>
      </w:r>
      <w:r>
        <w:rPr>
          <w:rFonts w:ascii="Arial" w:hAnsi="Arial" w:cs="Arial"/>
        </w:rPr>
        <w:t>, museums</w:t>
      </w:r>
      <w:r w:rsidRPr="00B86BDA">
        <w:rPr>
          <w:rFonts w:ascii="Arial" w:hAnsi="Arial" w:cs="Arial"/>
        </w:rPr>
        <w:t xml:space="preserve"> or organisations that feature works borrowed from other galleries</w:t>
      </w:r>
      <w:r>
        <w:rPr>
          <w:rFonts w:ascii="Arial" w:hAnsi="Arial" w:cs="Arial"/>
        </w:rPr>
        <w:t>, museums</w:t>
      </w:r>
      <w:r w:rsidRPr="00B86BDA">
        <w:rPr>
          <w:rFonts w:ascii="Arial" w:hAnsi="Arial" w:cs="Arial"/>
        </w:rPr>
        <w:t xml:space="preserve"> or private collections to advance new ideas and build new audiences.</w:t>
      </w:r>
    </w:p>
    <w:p w14:paraId="5C4C182A" w14:textId="77777777" w:rsidR="001D1BBB" w:rsidRPr="00B86BDA" w:rsidRDefault="001D1BBB" w:rsidP="001D1BBB">
      <w:pPr>
        <w:pStyle w:val="NoSpacing"/>
        <w:ind w:left="720"/>
        <w:rPr>
          <w:rFonts w:ascii="Arial" w:hAnsi="Arial" w:cs="Arial"/>
        </w:rPr>
      </w:pPr>
    </w:p>
    <w:p w14:paraId="6E47F12D" w14:textId="77777777" w:rsidR="001D1BBB" w:rsidRPr="00B86BDA" w:rsidRDefault="001D1BBB" w:rsidP="001D1BBB">
      <w:pPr>
        <w:pStyle w:val="NoSpacing"/>
        <w:numPr>
          <w:ilvl w:val="0"/>
          <w:numId w:val="4"/>
        </w:numPr>
        <w:ind w:left="709" w:hanging="709"/>
        <w:rPr>
          <w:rFonts w:ascii="Arial" w:hAnsi="Arial" w:cs="Arial"/>
        </w:rPr>
      </w:pPr>
      <w:r w:rsidRPr="00B86BDA">
        <w:rPr>
          <w:rFonts w:ascii="Arial" w:hAnsi="Arial" w:cs="Arial"/>
        </w:rPr>
        <w:t>Touring exhibitions from interstate or international organisations.</w:t>
      </w:r>
    </w:p>
    <w:p w14:paraId="58FC4E19" w14:textId="77777777" w:rsidR="001D1BBB" w:rsidRPr="00B86BDA" w:rsidRDefault="001D1BBB" w:rsidP="001D1BBB">
      <w:pPr>
        <w:pStyle w:val="NoSpacing"/>
        <w:ind w:left="720"/>
        <w:rPr>
          <w:rFonts w:ascii="Arial" w:hAnsi="Arial" w:cs="Arial"/>
        </w:rPr>
      </w:pPr>
    </w:p>
    <w:p w14:paraId="624CED92" w14:textId="77777777" w:rsidR="001D1BBB" w:rsidRPr="00B86BDA" w:rsidRDefault="001D1BBB" w:rsidP="001D1BBB">
      <w:pPr>
        <w:pStyle w:val="NoSpacing"/>
        <w:numPr>
          <w:ilvl w:val="0"/>
          <w:numId w:val="4"/>
        </w:numPr>
        <w:ind w:left="709" w:hanging="709"/>
        <w:rPr>
          <w:rFonts w:ascii="Arial" w:hAnsi="Arial" w:cs="Arial"/>
        </w:rPr>
      </w:pPr>
      <w:r w:rsidRPr="00B86BDA">
        <w:rPr>
          <w:rFonts w:ascii="Arial" w:hAnsi="Arial" w:cs="Arial"/>
        </w:rPr>
        <w:t>Collection-based exhibitions that tour to regional South Australia, interstate or internationally.</w:t>
      </w:r>
    </w:p>
    <w:p w14:paraId="3C42E7BC" w14:textId="77777777" w:rsidR="001D1BBB" w:rsidRDefault="001D1BBB" w:rsidP="001D1BBB">
      <w:pPr>
        <w:pStyle w:val="NoSpacing"/>
        <w:rPr>
          <w:rFonts w:ascii="Arial" w:hAnsi="Arial" w:cs="Arial"/>
        </w:rPr>
      </w:pPr>
    </w:p>
    <w:p w14:paraId="6DC0EE23" w14:textId="77777777" w:rsidR="001D1BBB" w:rsidRPr="0091448D" w:rsidRDefault="001D1BBB" w:rsidP="001D1BBB">
      <w:pPr>
        <w:ind w:hanging="567"/>
        <w:rPr>
          <w:rFonts w:ascii="Arial" w:hAnsi="Arial" w:cs="Arial"/>
          <w:b/>
        </w:rPr>
      </w:pPr>
      <w:r>
        <w:rPr>
          <w:rFonts w:ascii="Arial" w:hAnsi="Arial" w:cs="Arial"/>
          <w:b/>
        </w:rPr>
        <w:t>5</w:t>
      </w:r>
      <w:r w:rsidRPr="0091448D">
        <w:rPr>
          <w:rFonts w:ascii="Arial" w:hAnsi="Arial" w:cs="Arial"/>
          <w:b/>
        </w:rPr>
        <w:t>.</w:t>
      </w:r>
      <w:r w:rsidRPr="0091448D">
        <w:rPr>
          <w:rFonts w:ascii="Arial" w:hAnsi="Arial" w:cs="Arial"/>
          <w:b/>
        </w:rPr>
        <w:tab/>
      </w:r>
      <w:r>
        <w:rPr>
          <w:rFonts w:ascii="Arial" w:hAnsi="Arial" w:cs="Arial"/>
          <w:b/>
        </w:rPr>
        <w:t>Decision-making Process</w:t>
      </w:r>
    </w:p>
    <w:p w14:paraId="1D7CA290" w14:textId="77777777" w:rsidR="001D1BBB" w:rsidRDefault="001D1BBB" w:rsidP="001D1BBB">
      <w:pPr>
        <w:pStyle w:val="NoSpacing"/>
        <w:rPr>
          <w:rFonts w:ascii="Arial" w:hAnsi="Arial" w:cs="Arial"/>
        </w:rPr>
      </w:pPr>
    </w:p>
    <w:p w14:paraId="51752CE0" w14:textId="77777777" w:rsidR="001D1BBB" w:rsidRPr="00B86BDA" w:rsidRDefault="001D1BBB" w:rsidP="001D1BBB">
      <w:pPr>
        <w:pStyle w:val="NoSpacing"/>
        <w:numPr>
          <w:ilvl w:val="0"/>
          <w:numId w:val="5"/>
        </w:numPr>
        <w:ind w:left="709" w:hanging="709"/>
        <w:rPr>
          <w:rFonts w:ascii="Arial" w:hAnsi="Arial" w:cs="Arial"/>
        </w:rPr>
      </w:pPr>
      <w:r w:rsidRPr="00B86BDA">
        <w:rPr>
          <w:rFonts w:ascii="Arial" w:hAnsi="Arial" w:cs="Arial"/>
        </w:rPr>
        <w:t>Exhibition proposals are reviewed and assessed by the Senior Management Group and approved by the Director for inclusion in the exhibition program.</w:t>
      </w:r>
    </w:p>
    <w:p w14:paraId="174780EB" w14:textId="77777777" w:rsidR="001D1BBB" w:rsidRPr="00B86BDA" w:rsidRDefault="001D1BBB" w:rsidP="001D1BBB">
      <w:pPr>
        <w:pStyle w:val="NoSpacing"/>
        <w:ind w:left="720"/>
        <w:rPr>
          <w:rFonts w:ascii="Arial" w:hAnsi="Arial" w:cs="Arial"/>
        </w:rPr>
      </w:pPr>
    </w:p>
    <w:p w14:paraId="2D296E4C" w14:textId="77777777" w:rsidR="001D1BBB" w:rsidRPr="00B86BDA" w:rsidRDefault="001D1BBB" w:rsidP="001D1BBB">
      <w:pPr>
        <w:pStyle w:val="NoSpacing"/>
        <w:numPr>
          <w:ilvl w:val="0"/>
          <w:numId w:val="5"/>
        </w:numPr>
        <w:ind w:left="709" w:hanging="709"/>
        <w:rPr>
          <w:rFonts w:ascii="Arial" w:hAnsi="Arial" w:cs="Arial"/>
        </w:rPr>
      </w:pPr>
      <w:r w:rsidRPr="00B86BDA">
        <w:rPr>
          <w:rFonts w:ascii="Arial" w:hAnsi="Arial" w:cs="Arial"/>
        </w:rPr>
        <w:t>Where a major ticketed exhibition is included in the exhibition program, attendance is the key consideration and key stakeholders may need to be consulted at an early stage of the planning process.</w:t>
      </w:r>
    </w:p>
    <w:p w14:paraId="2979128E" w14:textId="77777777" w:rsidR="001D1BBB" w:rsidRPr="00B86BDA" w:rsidRDefault="001D1BBB" w:rsidP="001D1BBB">
      <w:pPr>
        <w:pStyle w:val="NoSpacing"/>
        <w:ind w:left="720"/>
        <w:rPr>
          <w:rFonts w:ascii="Arial" w:hAnsi="Arial" w:cs="Arial"/>
        </w:rPr>
      </w:pPr>
    </w:p>
    <w:p w14:paraId="24C9AD3A" w14:textId="77777777" w:rsidR="001D1BBB" w:rsidRPr="00B86BDA" w:rsidRDefault="001D1BBB" w:rsidP="001D1BBB">
      <w:pPr>
        <w:pStyle w:val="NoSpacing"/>
        <w:numPr>
          <w:ilvl w:val="0"/>
          <w:numId w:val="5"/>
        </w:numPr>
        <w:ind w:left="709" w:hanging="709"/>
        <w:rPr>
          <w:rFonts w:ascii="Arial" w:hAnsi="Arial" w:cs="Arial"/>
        </w:rPr>
      </w:pPr>
      <w:r w:rsidRPr="00B86BDA">
        <w:rPr>
          <w:rFonts w:ascii="Arial" w:hAnsi="Arial" w:cs="Arial"/>
        </w:rPr>
        <w:t xml:space="preserve">The Director, </w:t>
      </w:r>
      <w:r>
        <w:rPr>
          <w:rFonts w:ascii="Arial" w:hAnsi="Arial" w:cs="Arial"/>
        </w:rPr>
        <w:t xml:space="preserve">Deputy Director and </w:t>
      </w:r>
      <w:r w:rsidRPr="00B86BDA">
        <w:rPr>
          <w:rFonts w:ascii="Arial" w:hAnsi="Arial" w:cs="Arial"/>
        </w:rPr>
        <w:t xml:space="preserve">Assistant Director, in consultation with </w:t>
      </w:r>
      <w:r>
        <w:rPr>
          <w:rFonts w:ascii="Arial" w:hAnsi="Arial" w:cs="Arial"/>
        </w:rPr>
        <w:t>f</w:t>
      </w:r>
      <w:r w:rsidRPr="00B86BDA">
        <w:rPr>
          <w:rFonts w:ascii="Arial" w:hAnsi="Arial" w:cs="Arial"/>
        </w:rPr>
        <w:t xml:space="preserve">inancial </w:t>
      </w:r>
      <w:r>
        <w:rPr>
          <w:rFonts w:ascii="Arial" w:hAnsi="Arial" w:cs="Arial"/>
        </w:rPr>
        <w:t>o</w:t>
      </w:r>
      <w:r w:rsidRPr="00B86BDA">
        <w:rPr>
          <w:rFonts w:ascii="Arial" w:hAnsi="Arial" w:cs="Arial"/>
        </w:rPr>
        <w:t>fficers, will develop a budget for all exhibitions</w:t>
      </w:r>
      <w:r>
        <w:rPr>
          <w:rFonts w:ascii="Arial" w:hAnsi="Arial" w:cs="Arial"/>
        </w:rPr>
        <w:t>.  For exhibitions with a budget over $400,000 a risk assessment will also be completed</w:t>
      </w:r>
      <w:r w:rsidRPr="00B86BDA">
        <w:rPr>
          <w:rFonts w:ascii="Arial" w:hAnsi="Arial" w:cs="Arial"/>
        </w:rPr>
        <w:t>.</w:t>
      </w:r>
      <w:r>
        <w:rPr>
          <w:rFonts w:ascii="Arial" w:hAnsi="Arial" w:cs="Arial"/>
        </w:rPr>
        <w:t xml:space="preserve"> Any exhibition with over $1 million expenditure must be </w:t>
      </w:r>
      <w:r w:rsidRPr="00B86BDA">
        <w:rPr>
          <w:rFonts w:ascii="Arial" w:hAnsi="Arial" w:cs="Arial"/>
        </w:rPr>
        <w:t xml:space="preserve">approved by the </w:t>
      </w:r>
      <w:r>
        <w:rPr>
          <w:rFonts w:ascii="Arial" w:hAnsi="Arial" w:cs="Arial"/>
        </w:rPr>
        <w:t xml:space="preserve">Art Gallery </w:t>
      </w:r>
      <w:r w:rsidRPr="00B86BDA">
        <w:rPr>
          <w:rFonts w:ascii="Arial" w:hAnsi="Arial" w:cs="Arial"/>
        </w:rPr>
        <w:t>Board</w:t>
      </w:r>
      <w:r>
        <w:rPr>
          <w:rFonts w:ascii="Arial" w:hAnsi="Arial" w:cs="Arial"/>
        </w:rPr>
        <w:t xml:space="preserve"> and any supporting contractual documentation must be referred to the Crown Solicitor for advice</w:t>
      </w:r>
      <w:r w:rsidRPr="00B86BDA">
        <w:rPr>
          <w:rFonts w:ascii="Arial" w:hAnsi="Arial" w:cs="Arial"/>
        </w:rPr>
        <w:t>.</w:t>
      </w:r>
    </w:p>
    <w:p w14:paraId="6807432A" w14:textId="77777777" w:rsidR="001D1BBB" w:rsidRDefault="001D1BBB" w:rsidP="001D1BBB">
      <w:pPr>
        <w:pStyle w:val="NoSpacing"/>
        <w:rPr>
          <w:rFonts w:ascii="Arial" w:hAnsi="Arial" w:cs="Arial"/>
        </w:rPr>
      </w:pPr>
    </w:p>
    <w:p w14:paraId="79A88BD4" w14:textId="77777777" w:rsidR="001D1BBB" w:rsidRPr="0091448D" w:rsidRDefault="001D1BBB" w:rsidP="001D1BBB">
      <w:pPr>
        <w:ind w:hanging="567"/>
        <w:rPr>
          <w:rFonts w:ascii="Arial" w:hAnsi="Arial" w:cs="Arial"/>
          <w:b/>
        </w:rPr>
      </w:pPr>
      <w:r>
        <w:rPr>
          <w:rFonts w:ascii="Arial" w:hAnsi="Arial" w:cs="Arial"/>
          <w:b/>
        </w:rPr>
        <w:t>6</w:t>
      </w:r>
      <w:r w:rsidRPr="0091448D">
        <w:rPr>
          <w:rFonts w:ascii="Arial" w:hAnsi="Arial" w:cs="Arial"/>
          <w:b/>
        </w:rPr>
        <w:t>.</w:t>
      </w:r>
      <w:r w:rsidRPr="0091448D">
        <w:rPr>
          <w:rFonts w:ascii="Arial" w:hAnsi="Arial" w:cs="Arial"/>
          <w:b/>
        </w:rPr>
        <w:tab/>
      </w:r>
      <w:r>
        <w:rPr>
          <w:rFonts w:ascii="Arial" w:hAnsi="Arial" w:cs="Arial"/>
          <w:b/>
        </w:rPr>
        <w:t>Related Documents</w:t>
      </w:r>
    </w:p>
    <w:p w14:paraId="52094198" w14:textId="77777777" w:rsidR="001D1BBB" w:rsidRDefault="001D1BBB" w:rsidP="001D1BBB">
      <w:pPr>
        <w:pStyle w:val="NoSpacing"/>
        <w:rPr>
          <w:rFonts w:ascii="Arial" w:hAnsi="Arial" w:cs="Arial"/>
        </w:rPr>
      </w:pPr>
    </w:p>
    <w:p w14:paraId="48264E8B" w14:textId="3D2EA17A" w:rsidR="001D1BBB" w:rsidRDefault="00254FFB" w:rsidP="001D1BBB">
      <w:pPr>
        <w:pStyle w:val="NoSpacing"/>
        <w:ind w:left="720" w:hanging="720"/>
        <w:rPr>
          <w:rFonts w:ascii="Arial" w:hAnsi="Arial" w:cs="Arial"/>
        </w:rPr>
      </w:pPr>
      <w:r>
        <w:rPr>
          <w:rFonts w:ascii="Arial" w:hAnsi="Arial" w:cs="Arial"/>
        </w:rPr>
        <w:t>AGSA</w:t>
      </w:r>
      <w:r w:rsidR="001D1BBB">
        <w:rPr>
          <w:rFonts w:ascii="Arial" w:hAnsi="Arial" w:cs="Arial"/>
        </w:rPr>
        <w:t xml:space="preserve"> Strategic Plan 2019-2022</w:t>
      </w:r>
    </w:p>
    <w:p w14:paraId="009FFAAC" w14:textId="77777777" w:rsidR="001D1BBB" w:rsidRPr="00B86BDA" w:rsidRDefault="001D1BBB" w:rsidP="001D1BBB">
      <w:pPr>
        <w:pStyle w:val="NoSpacing"/>
        <w:ind w:left="720" w:hanging="720"/>
        <w:rPr>
          <w:rFonts w:ascii="Arial" w:hAnsi="Arial" w:cs="Arial"/>
        </w:rPr>
      </w:pPr>
      <w:r w:rsidRPr="00B86BDA">
        <w:rPr>
          <w:rFonts w:ascii="Arial" w:hAnsi="Arial" w:cs="Arial"/>
        </w:rPr>
        <w:t>Due Diligence and Provenance Policy</w:t>
      </w:r>
    </w:p>
    <w:p w14:paraId="1460599A" w14:textId="77777777" w:rsidR="001D1BBB" w:rsidRPr="00B86BDA" w:rsidRDefault="001D1BBB" w:rsidP="001D1BBB">
      <w:pPr>
        <w:pStyle w:val="NoSpacing"/>
        <w:ind w:left="720" w:hanging="720"/>
        <w:rPr>
          <w:rFonts w:ascii="Arial" w:hAnsi="Arial" w:cs="Arial"/>
        </w:rPr>
      </w:pPr>
      <w:r w:rsidRPr="00B86BDA">
        <w:rPr>
          <w:rFonts w:ascii="Arial" w:hAnsi="Arial" w:cs="Arial"/>
        </w:rPr>
        <w:t>Acquisition Policy</w:t>
      </w:r>
    </w:p>
    <w:p w14:paraId="4F5A1681" w14:textId="77777777" w:rsidR="001D1BBB" w:rsidRPr="00B86BDA" w:rsidRDefault="001D1BBB" w:rsidP="001D1BBB">
      <w:pPr>
        <w:pStyle w:val="NoSpacing"/>
        <w:ind w:left="720" w:hanging="720"/>
        <w:rPr>
          <w:rFonts w:ascii="Arial" w:hAnsi="Arial" w:cs="Arial"/>
        </w:rPr>
      </w:pPr>
      <w:r w:rsidRPr="00B86BDA">
        <w:rPr>
          <w:rFonts w:ascii="Arial" w:hAnsi="Arial" w:cs="Arial"/>
        </w:rPr>
        <w:t>Loans Policy</w:t>
      </w:r>
    </w:p>
    <w:p w14:paraId="4E1E22A0" w14:textId="77777777" w:rsidR="001D1BBB" w:rsidRPr="00B86BDA" w:rsidRDefault="001D1BBB" w:rsidP="001D1BBB">
      <w:pPr>
        <w:pStyle w:val="NoSpacing"/>
        <w:ind w:left="720" w:hanging="720"/>
        <w:rPr>
          <w:rFonts w:ascii="Arial" w:hAnsi="Arial" w:cs="Arial"/>
        </w:rPr>
      </w:pPr>
      <w:r w:rsidRPr="00B86BDA">
        <w:rPr>
          <w:rFonts w:ascii="Arial" w:hAnsi="Arial" w:cs="Arial"/>
        </w:rPr>
        <w:t>Reconciliation Action Plan</w:t>
      </w:r>
      <w:bookmarkStart w:id="0" w:name="_GoBack"/>
      <w:bookmarkEnd w:id="0"/>
    </w:p>
    <w:p w14:paraId="7523287E" w14:textId="77777777" w:rsidR="001D1BBB" w:rsidRPr="00B86BDA" w:rsidRDefault="001D1BBB" w:rsidP="001D1BBB">
      <w:pPr>
        <w:pStyle w:val="NoSpacing"/>
        <w:ind w:left="720" w:hanging="720"/>
        <w:rPr>
          <w:rFonts w:ascii="Arial" w:hAnsi="Arial" w:cs="Arial"/>
        </w:rPr>
      </w:pPr>
      <w:r w:rsidRPr="006376E7">
        <w:rPr>
          <w:rFonts w:ascii="Arial" w:hAnsi="Arial" w:cs="Arial"/>
        </w:rPr>
        <w:t>Code of Ethics</w:t>
      </w:r>
    </w:p>
    <w:p w14:paraId="60D557D7" w14:textId="77777777" w:rsidR="001D1BBB" w:rsidRPr="00B86BDA" w:rsidRDefault="001D1BBB" w:rsidP="001D1BBB">
      <w:pPr>
        <w:pStyle w:val="NoSpacing"/>
        <w:rPr>
          <w:rFonts w:ascii="Arial" w:hAnsi="Arial" w:cs="Arial"/>
        </w:rPr>
      </w:pPr>
    </w:p>
    <w:p w14:paraId="7397CCDC" w14:textId="77777777" w:rsidR="001D1BBB" w:rsidRPr="0091448D" w:rsidRDefault="001D1BBB" w:rsidP="001D1BBB">
      <w:pPr>
        <w:ind w:hanging="567"/>
        <w:rPr>
          <w:rFonts w:ascii="Arial" w:hAnsi="Arial" w:cs="Arial"/>
          <w:b/>
        </w:rPr>
      </w:pPr>
      <w:r>
        <w:rPr>
          <w:rFonts w:ascii="Arial" w:hAnsi="Arial" w:cs="Arial"/>
          <w:b/>
        </w:rPr>
        <w:t>7.</w:t>
      </w:r>
      <w:r>
        <w:rPr>
          <w:rFonts w:ascii="Arial" w:hAnsi="Arial" w:cs="Arial"/>
          <w:b/>
        </w:rPr>
        <w:tab/>
        <w:t>Review Process</w:t>
      </w:r>
    </w:p>
    <w:p w14:paraId="219B1A7F" w14:textId="77777777" w:rsidR="001D1BBB" w:rsidRDefault="001D1BBB" w:rsidP="001D1BBB">
      <w:pPr>
        <w:pStyle w:val="NoSpacing"/>
        <w:rPr>
          <w:rFonts w:ascii="Arial" w:hAnsi="Arial" w:cs="Arial"/>
        </w:rPr>
      </w:pPr>
    </w:p>
    <w:p w14:paraId="5654364E" w14:textId="14AAD1A0" w:rsidR="001D1BBB" w:rsidRDefault="001D1BBB" w:rsidP="001D1BBB">
      <w:pPr>
        <w:pStyle w:val="NoSpacing"/>
        <w:rPr>
          <w:rFonts w:ascii="Arial" w:hAnsi="Arial" w:cs="Arial"/>
        </w:rPr>
      </w:pPr>
      <w:r w:rsidRPr="0091448D">
        <w:rPr>
          <w:rFonts w:ascii="Arial" w:hAnsi="Arial" w:cs="Arial"/>
        </w:rPr>
        <w:t xml:space="preserve">This policy will be reviewed after its first year of operation and then on a five-yearly basis. </w:t>
      </w:r>
      <w:r>
        <w:rPr>
          <w:rFonts w:ascii="Arial" w:hAnsi="Arial" w:cs="Arial"/>
        </w:rPr>
        <w:t xml:space="preserve"> </w:t>
      </w:r>
      <w:r w:rsidRPr="00FE182B">
        <w:rPr>
          <w:rFonts w:ascii="Arial" w:hAnsi="Arial" w:cs="Arial"/>
        </w:rPr>
        <w:t xml:space="preserve">This policy will </w:t>
      </w:r>
      <w:r>
        <w:rPr>
          <w:rFonts w:ascii="Arial" w:hAnsi="Arial" w:cs="Arial"/>
        </w:rPr>
        <w:t>also be</w:t>
      </w:r>
      <w:r w:rsidRPr="00FE182B">
        <w:rPr>
          <w:rFonts w:ascii="Arial" w:hAnsi="Arial" w:cs="Arial"/>
        </w:rPr>
        <w:t xml:space="preserve"> amended </w:t>
      </w:r>
      <w:r>
        <w:rPr>
          <w:rFonts w:ascii="Arial" w:hAnsi="Arial" w:cs="Arial"/>
        </w:rPr>
        <w:t>where</w:t>
      </w:r>
      <w:r w:rsidRPr="00FE182B">
        <w:rPr>
          <w:rFonts w:ascii="Arial" w:hAnsi="Arial" w:cs="Arial"/>
        </w:rPr>
        <w:t xml:space="preserve"> necessary to reflect the needs of </w:t>
      </w:r>
      <w:r w:rsidR="00254FFB">
        <w:rPr>
          <w:rFonts w:ascii="Arial" w:hAnsi="Arial" w:cs="Arial"/>
        </w:rPr>
        <w:t>AGSA</w:t>
      </w:r>
      <w:r w:rsidRPr="00FE182B">
        <w:rPr>
          <w:rFonts w:ascii="Arial" w:hAnsi="Arial" w:cs="Arial"/>
        </w:rPr>
        <w:t xml:space="preserve"> and will be reviewed following the development of each new Strategic Plan.</w:t>
      </w:r>
    </w:p>
    <w:p w14:paraId="3C701F43" w14:textId="1AFCDDA6" w:rsidR="001D1BBB" w:rsidRDefault="001D1BBB" w:rsidP="001D1BBB">
      <w:pPr>
        <w:pStyle w:val="NoSpacing"/>
        <w:rPr>
          <w:rFonts w:ascii="Arial" w:hAnsi="Arial" w:cs="Arial"/>
        </w:rPr>
      </w:pPr>
    </w:p>
    <w:p w14:paraId="71CFDFDA" w14:textId="77777777" w:rsidR="00BD609C" w:rsidRDefault="00BD609C" w:rsidP="001D1BBB">
      <w:pPr>
        <w:pStyle w:val="NoSpacing"/>
        <w:rPr>
          <w:rFonts w:ascii="Arial" w:hAnsi="Arial" w:cs="Arial"/>
        </w:rPr>
      </w:pPr>
    </w:p>
    <w:tbl>
      <w:tblPr>
        <w:tblStyle w:val="TableGrid"/>
        <w:tblW w:w="0" w:type="auto"/>
        <w:tblInd w:w="-113" w:type="dxa"/>
        <w:tblLook w:val="04A0" w:firstRow="1" w:lastRow="0" w:firstColumn="1" w:lastColumn="0" w:noHBand="0" w:noVBand="1"/>
      </w:tblPr>
      <w:tblGrid>
        <w:gridCol w:w="4574"/>
        <w:gridCol w:w="3743"/>
      </w:tblGrid>
      <w:tr w:rsidR="001D1BBB" w:rsidRPr="000120B3" w14:paraId="662690BB" w14:textId="77777777" w:rsidTr="00DE5A4C">
        <w:tc>
          <w:tcPr>
            <w:tcW w:w="4625" w:type="dxa"/>
          </w:tcPr>
          <w:p w14:paraId="346C2D8C" w14:textId="77777777" w:rsidR="001D1BBB" w:rsidRDefault="001D1BBB" w:rsidP="00DE5A4C">
            <w:pPr>
              <w:rPr>
                <w:rFonts w:ascii="Arial" w:hAnsi="Arial" w:cs="Arial"/>
                <w:sz w:val="20"/>
                <w:szCs w:val="20"/>
              </w:rPr>
            </w:pPr>
            <w:r>
              <w:rPr>
                <w:rFonts w:ascii="Arial" w:hAnsi="Arial" w:cs="Arial"/>
                <w:sz w:val="20"/>
                <w:szCs w:val="20"/>
              </w:rPr>
              <w:t>Policy approved by Art Gallery Board</w:t>
            </w:r>
          </w:p>
          <w:p w14:paraId="351C3664" w14:textId="77777777" w:rsidR="001D1BBB" w:rsidRPr="000120B3" w:rsidRDefault="001D1BBB" w:rsidP="00DE5A4C">
            <w:pPr>
              <w:rPr>
                <w:rFonts w:ascii="Arial" w:hAnsi="Arial" w:cs="Arial"/>
                <w:sz w:val="20"/>
                <w:szCs w:val="20"/>
              </w:rPr>
            </w:pPr>
            <w:r>
              <w:rPr>
                <w:rFonts w:ascii="Arial" w:hAnsi="Arial" w:cs="Arial"/>
                <w:sz w:val="20"/>
                <w:szCs w:val="20"/>
              </w:rPr>
              <w:t>(to be reviewed in October 2020)</w:t>
            </w:r>
          </w:p>
        </w:tc>
        <w:tc>
          <w:tcPr>
            <w:tcW w:w="3784" w:type="dxa"/>
          </w:tcPr>
          <w:p w14:paraId="165F6EB3" w14:textId="77777777" w:rsidR="001D1BBB" w:rsidRPr="000120B3" w:rsidRDefault="001D1BBB" w:rsidP="00DE5A4C">
            <w:pPr>
              <w:rPr>
                <w:rFonts w:ascii="Arial" w:hAnsi="Arial" w:cs="Arial"/>
                <w:sz w:val="20"/>
                <w:szCs w:val="20"/>
              </w:rPr>
            </w:pPr>
            <w:r>
              <w:rPr>
                <w:rFonts w:ascii="Arial" w:hAnsi="Arial" w:cs="Arial"/>
                <w:sz w:val="20"/>
                <w:szCs w:val="20"/>
              </w:rPr>
              <w:t>23 October 2019</w:t>
            </w:r>
          </w:p>
        </w:tc>
      </w:tr>
      <w:tr w:rsidR="001D1BBB" w:rsidRPr="000120B3" w14:paraId="681DE083" w14:textId="77777777" w:rsidTr="00DE5A4C">
        <w:tc>
          <w:tcPr>
            <w:tcW w:w="4625" w:type="dxa"/>
          </w:tcPr>
          <w:p w14:paraId="7287837F" w14:textId="77777777" w:rsidR="001D1BBB" w:rsidRDefault="001D1BBB" w:rsidP="001D1BBB">
            <w:pPr>
              <w:rPr>
                <w:rFonts w:ascii="Arial" w:hAnsi="Arial" w:cs="Arial"/>
                <w:sz w:val="20"/>
                <w:szCs w:val="20"/>
              </w:rPr>
            </w:pPr>
            <w:r w:rsidRPr="000120B3">
              <w:rPr>
                <w:rFonts w:ascii="Arial" w:hAnsi="Arial" w:cs="Arial"/>
                <w:sz w:val="20"/>
                <w:szCs w:val="20"/>
              </w:rPr>
              <w:t>Policy reviewed</w:t>
            </w:r>
            <w:r>
              <w:rPr>
                <w:rFonts w:ascii="Arial" w:hAnsi="Arial" w:cs="Arial"/>
                <w:sz w:val="20"/>
                <w:szCs w:val="20"/>
              </w:rPr>
              <w:t xml:space="preserve"> after first year of operation</w:t>
            </w:r>
          </w:p>
          <w:p w14:paraId="2B7A39A4" w14:textId="4ECB9106" w:rsidR="00BD609C" w:rsidRPr="000120B3" w:rsidRDefault="00BD609C" w:rsidP="001D1BBB">
            <w:pPr>
              <w:rPr>
                <w:rFonts w:ascii="Arial" w:hAnsi="Arial" w:cs="Arial"/>
                <w:sz w:val="20"/>
                <w:szCs w:val="20"/>
              </w:rPr>
            </w:pPr>
          </w:p>
        </w:tc>
        <w:tc>
          <w:tcPr>
            <w:tcW w:w="3784" w:type="dxa"/>
          </w:tcPr>
          <w:p w14:paraId="0B0208F2" w14:textId="77777777" w:rsidR="001D1BBB" w:rsidRPr="000120B3" w:rsidRDefault="001D1BBB" w:rsidP="00DE5A4C">
            <w:pPr>
              <w:rPr>
                <w:rFonts w:ascii="Arial" w:hAnsi="Arial" w:cs="Arial"/>
                <w:sz w:val="20"/>
                <w:szCs w:val="20"/>
              </w:rPr>
            </w:pPr>
          </w:p>
        </w:tc>
      </w:tr>
    </w:tbl>
    <w:p w14:paraId="14D19377" w14:textId="77777777" w:rsidR="00FF264C" w:rsidRPr="00BD609C" w:rsidRDefault="00FF264C" w:rsidP="00BD609C">
      <w:pPr>
        <w:pStyle w:val="NoSpacing"/>
        <w:rPr>
          <w:rFonts w:ascii="Arial" w:hAnsi="Arial" w:cs="Arial"/>
        </w:rPr>
      </w:pPr>
    </w:p>
    <w:sectPr w:rsidR="00FF264C" w:rsidRPr="00BD609C" w:rsidSect="00BD609C">
      <w:headerReference w:type="default" r:id="rId7"/>
      <w:headerReference w:type="first" r:id="rId8"/>
      <w:footerReference w:type="first" r:id="rId9"/>
      <w:pgSz w:w="11900" w:h="16840"/>
      <w:pgMar w:top="1701" w:right="1134"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6B142" w14:textId="77777777" w:rsidR="003639C3" w:rsidRDefault="004D26AC">
      <w:r>
        <w:separator/>
      </w:r>
    </w:p>
  </w:endnote>
  <w:endnote w:type="continuationSeparator" w:id="0">
    <w:p w14:paraId="68A7887C" w14:textId="77777777" w:rsidR="003639C3" w:rsidRDefault="004D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56BD" w14:textId="77777777" w:rsidR="007B343C" w:rsidRDefault="00BD609C" w:rsidP="007B343C">
    <w:pPr>
      <w:pStyle w:val="Footer"/>
      <w:tabs>
        <w:tab w:val="clear" w:pos="4513"/>
        <w:tab w:val="clear" w:pos="9026"/>
        <w:tab w:val="left" w:pos="1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34C04" w14:textId="77777777" w:rsidR="003639C3" w:rsidRDefault="004D26AC">
      <w:r>
        <w:separator/>
      </w:r>
    </w:p>
  </w:footnote>
  <w:footnote w:type="continuationSeparator" w:id="0">
    <w:p w14:paraId="40AB4FB5" w14:textId="77777777" w:rsidR="003639C3" w:rsidRDefault="004D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687C" w14:textId="77777777" w:rsidR="00DC1EA0" w:rsidRDefault="00BD609C">
    <w:pPr>
      <w:pStyle w:val="Header"/>
    </w:pPr>
    <w:r>
      <w:rPr>
        <w:noProof/>
        <w:lang w:eastAsia="en-AU"/>
      </w:rPr>
      <w:br/>
    </w:r>
    <w:r>
      <w:rPr>
        <w:noProof/>
        <w:lang w:eastAsia="en-AU"/>
      </w:rPr>
      <w:br/>
    </w:r>
    <w:r>
      <w:rPr>
        <w:noProof/>
        <w:lang w:eastAsia="en-AU"/>
      </w:rPr>
      <w:b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80AA" w14:textId="77777777" w:rsidR="00DC1EA0" w:rsidRDefault="00BD609C">
    <w:pPr>
      <w:pStyle w:val="Header"/>
    </w:pPr>
    <w:r w:rsidRPr="00717FE8">
      <w:rPr>
        <w:noProof/>
        <w:lang w:eastAsia="en-AU"/>
      </w:rPr>
      <w:drawing>
        <wp:anchor distT="0" distB="0" distL="114300" distR="114300" simplePos="0" relativeHeight="251659264" behindDoc="1" locked="1" layoutInCell="1" allowOverlap="1" wp14:anchorId="3C7E7DEC" wp14:editId="5BB191E3">
          <wp:simplePos x="0" y="0"/>
          <wp:positionH relativeFrom="column">
            <wp:posOffset>-1620520</wp:posOffset>
          </wp:positionH>
          <wp:positionV relativeFrom="paragraph">
            <wp:posOffset>-450215</wp:posOffset>
          </wp:positionV>
          <wp:extent cx="7559040" cy="9591675"/>
          <wp:effectExtent l="0" t="0" r="381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GA_Letterhead_FA_WORD.png"/>
                  <pic:cNvPicPr/>
                </pic:nvPicPr>
                <pic:blipFill rotWithShape="1">
                  <a:blip r:embed="rId1">
                    <a:extLst>
                      <a:ext uri="{28A0092B-C50C-407E-A947-70E740481C1C}">
                        <a14:useLocalDpi xmlns:a14="http://schemas.microsoft.com/office/drawing/2010/main" val="0"/>
                      </a:ext>
                    </a:extLst>
                  </a:blip>
                  <a:srcRect b="10222"/>
                  <a:stretch/>
                </pic:blipFill>
                <pic:spPr bwMode="auto">
                  <a:xfrm>
                    <a:off x="0" y="0"/>
                    <a:ext cx="7559040" cy="9591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5521A"/>
    <w:multiLevelType w:val="hybridMultilevel"/>
    <w:tmpl w:val="EC0073C6"/>
    <w:lvl w:ilvl="0" w:tplc="ACB4F0D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70C7662"/>
    <w:multiLevelType w:val="hybridMultilevel"/>
    <w:tmpl w:val="4E2443D4"/>
    <w:lvl w:ilvl="0" w:tplc="83886C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A3E20D5"/>
    <w:multiLevelType w:val="hybridMultilevel"/>
    <w:tmpl w:val="F4C4A650"/>
    <w:lvl w:ilvl="0" w:tplc="309E73DA">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FE0035"/>
    <w:multiLevelType w:val="hybridMultilevel"/>
    <w:tmpl w:val="5E3C9B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4864048"/>
    <w:multiLevelType w:val="hybridMultilevel"/>
    <w:tmpl w:val="87EAB744"/>
    <w:lvl w:ilvl="0" w:tplc="29562D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BDD501C"/>
    <w:multiLevelType w:val="hybridMultilevel"/>
    <w:tmpl w:val="342E1A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BB"/>
    <w:rsid w:val="00102C36"/>
    <w:rsid w:val="001D1BBB"/>
    <w:rsid w:val="00254FFB"/>
    <w:rsid w:val="003639C3"/>
    <w:rsid w:val="004D26AC"/>
    <w:rsid w:val="00BD609C"/>
    <w:rsid w:val="00ED1BF1"/>
    <w:rsid w:val="00FF26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1A78"/>
  <w15:chartTrackingRefBased/>
  <w15:docId w15:val="{B311DE54-738F-41C9-9B1A-1B6E5E2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B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BBB"/>
    <w:pPr>
      <w:tabs>
        <w:tab w:val="center" w:pos="4513"/>
        <w:tab w:val="right" w:pos="9026"/>
      </w:tabs>
    </w:pPr>
  </w:style>
  <w:style w:type="character" w:customStyle="1" w:styleId="HeaderChar">
    <w:name w:val="Header Char"/>
    <w:basedOn w:val="DefaultParagraphFont"/>
    <w:link w:val="Header"/>
    <w:uiPriority w:val="99"/>
    <w:rsid w:val="001D1BBB"/>
    <w:rPr>
      <w:sz w:val="24"/>
      <w:szCs w:val="24"/>
    </w:rPr>
  </w:style>
  <w:style w:type="paragraph" w:styleId="Footer">
    <w:name w:val="footer"/>
    <w:basedOn w:val="Normal"/>
    <w:link w:val="FooterChar"/>
    <w:uiPriority w:val="99"/>
    <w:unhideWhenUsed/>
    <w:rsid w:val="001D1BBB"/>
    <w:pPr>
      <w:tabs>
        <w:tab w:val="center" w:pos="4513"/>
        <w:tab w:val="right" w:pos="9026"/>
      </w:tabs>
    </w:pPr>
  </w:style>
  <w:style w:type="character" w:customStyle="1" w:styleId="FooterChar">
    <w:name w:val="Footer Char"/>
    <w:basedOn w:val="DefaultParagraphFont"/>
    <w:link w:val="Footer"/>
    <w:uiPriority w:val="99"/>
    <w:rsid w:val="001D1BBB"/>
    <w:rPr>
      <w:sz w:val="24"/>
      <w:szCs w:val="24"/>
    </w:rPr>
  </w:style>
  <w:style w:type="paragraph" w:styleId="ListParagraph">
    <w:name w:val="List Paragraph"/>
    <w:basedOn w:val="Normal"/>
    <w:uiPriority w:val="34"/>
    <w:qFormat/>
    <w:rsid w:val="001D1BBB"/>
    <w:pPr>
      <w:ind w:left="720"/>
      <w:contextualSpacing/>
    </w:pPr>
    <w:rPr>
      <w:rFonts w:ascii="Helvetica" w:hAnsi="Helvetica"/>
      <w:lang w:val="en-GB"/>
    </w:rPr>
  </w:style>
  <w:style w:type="table" w:styleId="TableGrid">
    <w:name w:val="Table Grid"/>
    <w:basedOn w:val="TableNormal"/>
    <w:uiPriority w:val="39"/>
    <w:rsid w:val="001D1BB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1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Brookes, Lindsay (AGSA)</dc:creator>
  <cp:keywords/>
  <dc:description/>
  <cp:lastModifiedBy>Brookes, Lindsay (AGSA)</cp:lastModifiedBy>
  <cp:revision>3</cp:revision>
  <dcterms:created xsi:type="dcterms:W3CDTF">2020-06-29T05:31:00Z</dcterms:created>
  <dcterms:modified xsi:type="dcterms:W3CDTF">2020-07-15T23:55:00Z</dcterms:modified>
</cp:coreProperties>
</file>