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01D6F0ED" w:rsidR="000D17F1" w:rsidRDefault="00D94096" w:rsidP="00B862D5">
      <w:pPr>
        <w:pStyle w:val="Title"/>
        <w:rPr>
          <w:b w:val="0"/>
          <w:sz w:val="20"/>
        </w:rPr>
      </w:pPr>
      <w:r>
        <w:t xml:space="preserve">Monday </w:t>
      </w:r>
      <w:r w:rsidR="00FB380D">
        <w:t>10</w:t>
      </w:r>
      <w:r w:rsidR="00D44566">
        <w:t xml:space="preserve"> July to 1</w:t>
      </w:r>
      <w:r w:rsidR="00FB380D">
        <w:t>7</w:t>
      </w:r>
      <w:r w:rsidR="00D44566">
        <w:t xml:space="preserve"> July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61D94314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1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FB380D">
              <w:rPr>
                <w:sz w:val="21"/>
              </w:rPr>
              <w:t>10</w:t>
            </w:r>
            <w:r w:rsidR="00D44566">
              <w:rPr>
                <w:sz w:val="21"/>
              </w:rPr>
              <w:t xml:space="preserve"> July</w:t>
            </w:r>
          </w:p>
        </w:tc>
      </w:tr>
      <w:tr w:rsidR="002A666C" w14:paraId="403A570E" w14:textId="77777777" w:rsidTr="0073509C">
        <w:trPr>
          <w:trHeight w:val="239"/>
        </w:trPr>
        <w:tc>
          <w:tcPr>
            <w:tcW w:w="2410" w:type="dxa"/>
          </w:tcPr>
          <w:p w14:paraId="7FAD7398" w14:textId="0A591140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8065265"/>
            <w:bookmarkEnd w:id="1"/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3C388282" w14:textId="15F78152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EF38B78" w14:textId="5328DBB0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bookmarkEnd w:id="2"/>
      <w:tr w:rsidR="002A666C" w14:paraId="7DD83B03" w14:textId="77777777" w:rsidTr="0073509C">
        <w:trPr>
          <w:trHeight w:val="239"/>
        </w:trPr>
        <w:tc>
          <w:tcPr>
            <w:tcW w:w="2410" w:type="dxa"/>
          </w:tcPr>
          <w:p w14:paraId="6918D2EF" w14:textId="6180D1EB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5.00 pm</w:t>
            </w:r>
          </w:p>
        </w:tc>
        <w:tc>
          <w:tcPr>
            <w:tcW w:w="4536" w:type="dxa"/>
          </w:tcPr>
          <w:p w14:paraId="786113D5" w14:textId="2601FC30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50D86">
              <w:rPr>
                <w:sz w:val="21"/>
              </w:rPr>
              <w:t>RAP meeting</w:t>
            </w:r>
          </w:p>
        </w:tc>
        <w:tc>
          <w:tcPr>
            <w:tcW w:w="3686" w:type="dxa"/>
          </w:tcPr>
          <w:p w14:paraId="3F42B9A1" w14:textId="353492C8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2A666C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2DD015BF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>Tuesday 11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A666C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6E3E6042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10.30 am – 2.00 pm</w:t>
            </w:r>
          </w:p>
        </w:tc>
        <w:tc>
          <w:tcPr>
            <w:tcW w:w="4536" w:type="dxa"/>
          </w:tcPr>
          <w:p w14:paraId="19CC7738" w14:textId="1F1B331E" w:rsidR="002A666C" w:rsidRPr="00D14E7B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A666C">
              <w:rPr>
                <w:sz w:val="21"/>
              </w:rPr>
              <w:t>ED National Science Conference Workshop</w:t>
            </w:r>
          </w:p>
        </w:tc>
        <w:tc>
          <w:tcPr>
            <w:tcW w:w="3686" w:type="dxa"/>
          </w:tcPr>
          <w:p w14:paraId="54066CAB" w14:textId="0FCFCD90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A666C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2A666C" w:rsidRPr="00FD7315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05BF6261" w:rsidR="002A666C" w:rsidRPr="00FD7315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B380D">
              <w:rPr>
                <w:sz w:val="21"/>
              </w:rPr>
              <w:t>Tuesday Talks - Navigating the new</w:t>
            </w:r>
            <w:r w:rsidR="00AE37A8">
              <w:rPr>
                <w:sz w:val="21"/>
              </w:rPr>
              <w:t>, L</w:t>
            </w:r>
            <w:r w:rsidRPr="00FB380D">
              <w:rPr>
                <w:sz w:val="21"/>
              </w:rPr>
              <w:t>isa Slade and Angela Tiatia</w:t>
            </w:r>
          </w:p>
        </w:tc>
        <w:tc>
          <w:tcPr>
            <w:tcW w:w="3686" w:type="dxa"/>
          </w:tcPr>
          <w:p w14:paraId="183BD3CB" w14:textId="7D52A0F0" w:rsidR="002A666C" w:rsidRPr="00FD7315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9</w:t>
            </w:r>
          </w:p>
        </w:tc>
      </w:tr>
      <w:bookmarkEnd w:id="4"/>
      <w:tr w:rsidR="002A666C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13147FC1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12 July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2A666C" w:rsidRPr="001C6901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A666C" w14:paraId="3DFE3FD3" w14:textId="77777777">
        <w:trPr>
          <w:trHeight w:val="239"/>
        </w:trPr>
        <w:tc>
          <w:tcPr>
            <w:tcW w:w="2410" w:type="dxa"/>
          </w:tcPr>
          <w:p w14:paraId="44804056" w14:textId="307D3429" w:rsidR="002A666C" w:rsidRPr="003B0438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11.00 pm</w:t>
            </w:r>
          </w:p>
        </w:tc>
        <w:tc>
          <w:tcPr>
            <w:tcW w:w="4536" w:type="dxa"/>
          </w:tcPr>
          <w:p w14:paraId="07310BD9" w14:textId="44890EA2" w:rsidR="002A666C" w:rsidRPr="003B0438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B380D">
              <w:rPr>
                <w:sz w:val="21"/>
              </w:rPr>
              <w:t>Frida &amp; Diego: Love and Revolution - Educator Briefing</w:t>
            </w:r>
            <w:r>
              <w:rPr>
                <w:sz w:val="21"/>
              </w:rPr>
              <w:t xml:space="preserve"> – SOLD OUT</w:t>
            </w:r>
          </w:p>
        </w:tc>
        <w:tc>
          <w:tcPr>
            <w:tcW w:w="3686" w:type="dxa"/>
          </w:tcPr>
          <w:p w14:paraId="7FA026D2" w14:textId="2AB1BCBD" w:rsidR="002A666C" w:rsidRPr="003B0438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2A666C" w14:paraId="69C288E1" w14:textId="77777777">
        <w:trPr>
          <w:trHeight w:val="239"/>
        </w:trPr>
        <w:tc>
          <w:tcPr>
            <w:tcW w:w="2410" w:type="dxa"/>
          </w:tcPr>
          <w:p w14:paraId="31D69028" w14:textId="0073910D" w:rsidR="002A666C" w:rsidRPr="003B0438" w:rsidRDefault="009732F4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2A666C">
              <w:rPr>
                <w:sz w:val="21"/>
              </w:rPr>
              <w:t xml:space="preserve">.00 am – </w:t>
            </w:r>
            <w:r>
              <w:rPr>
                <w:sz w:val="21"/>
              </w:rPr>
              <w:t>4</w:t>
            </w:r>
            <w:r w:rsidR="002A666C">
              <w:rPr>
                <w:sz w:val="21"/>
              </w:rPr>
              <w:t>.</w:t>
            </w:r>
            <w:r>
              <w:rPr>
                <w:sz w:val="21"/>
              </w:rPr>
              <w:t>00p</w:t>
            </w:r>
            <w:r w:rsidR="002A666C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0F65229B" w14:textId="42F6D3A6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Hot House</w:t>
            </w:r>
          </w:p>
        </w:tc>
        <w:tc>
          <w:tcPr>
            <w:tcW w:w="3686" w:type="dxa"/>
          </w:tcPr>
          <w:p w14:paraId="35ED4025" w14:textId="4E9AE9AD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A666C" w14:paraId="23B3F275" w14:textId="77777777">
        <w:trPr>
          <w:trHeight w:val="239"/>
        </w:trPr>
        <w:tc>
          <w:tcPr>
            <w:tcW w:w="2410" w:type="dxa"/>
          </w:tcPr>
          <w:p w14:paraId="059E5DA2" w14:textId="351E9286" w:rsidR="002A666C" w:rsidRPr="003B0438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9732F4">
              <w:rPr>
                <w:sz w:val="21"/>
              </w:rPr>
              <w:t>0</w:t>
            </w:r>
            <w:r>
              <w:rPr>
                <w:sz w:val="21"/>
              </w:rPr>
              <w:t>.00 am – 1</w:t>
            </w:r>
            <w:r w:rsidR="009732F4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9732F4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277ACB1F" w14:textId="561266EF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Lead Team</w:t>
            </w:r>
            <w:r w:rsidRPr="009732F4">
              <w:rPr>
                <w:sz w:val="21"/>
              </w:rPr>
              <w:t xml:space="preserve"> Meeting | Strategic</w:t>
            </w:r>
          </w:p>
        </w:tc>
        <w:tc>
          <w:tcPr>
            <w:tcW w:w="3686" w:type="dxa"/>
          </w:tcPr>
          <w:p w14:paraId="2CCF31BD" w14:textId="5CB2D9CE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A666C" w14:paraId="01F0A623" w14:textId="77777777">
        <w:trPr>
          <w:trHeight w:val="239"/>
        </w:trPr>
        <w:tc>
          <w:tcPr>
            <w:tcW w:w="2410" w:type="dxa"/>
          </w:tcPr>
          <w:p w14:paraId="30966B83" w14:textId="111B8722" w:rsidR="002A666C" w:rsidRPr="003B0438" w:rsidRDefault="009732F4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3.30 pm</w:t>
            </w:r>
          </w:p>
        </w:tc>
        <w:tc>
          <w:tcPr>
            <w:tcW w:w="4536" w:type="dxa"/>
          </w:tcPr>
          <w:p w14:paraId="15A75F4D" w14:textId="6976384E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732F4">
              <w:rPr>
                <w:sz w:val="21"/>
              </w:rPr>
              <w:t>Curators and Directorate Meeting</w:t>
            </w:r>
          </w:p>
        </w:tc>
        <w:tc>
          <w:tcPr>
            <w:tcW w:w="3686" w:type="dxa"/>
          </w:tcPr>
          <w:p w14:paraId="50FFD73A" w14:textId="3107DD0D" w:rsidR="002A666C" w:rsidRDefault="009732F4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A666C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09D9F21E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>Thursday 13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5"/>
      <w:tr w:rsidR="002A666C" w14:paraId="0A724736" w14:textId="77777777">
        <w:trPr>
          <w:trHeight w:val="239"/>
        </w:trPr>
        <w:tc>
          <w:tcPr>
            <w:tcW w:w="2410" w:type="dxa"/>
          </w:tcPr>
          <w:p w14:paraId="605F752B" w14:textId="3E88715B" w:rsidR="002A666C" w:rsidRDefault="006956BA" w:rsidP="002A666C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9A281A">
              <w:rPr>
                <w:sz w:val="21"/>
              </w:rPr>
              <w:t>10.00 am – 11.30 am</w:t>
            </w:r>
          </w:p>
        </w:tc>
        <w:tc>
          <w:tcPr>
            <w:tcW w:w="4536" w:type="dxa"/>
          </w:tcPr>
          <w:p w14:paraId="491EE975" w14:textId="57627459" w:rsidR="002A666C" w:rsidRPr="004922F4" w:rsidRDefault="00E26E1E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 xml:space="preserve">VIP </w:t>
            </w:r>
            <w:r w:rsidR="009A281A" w:rsidRPr="004922F4">
              <w:rPr>
                <w:sz w:val="21"/>
              </w:rPr>
              <w:t xml:space="preserve">Tour </w:t>
            </w:r>
            <w:r w:rsidRPr="004922F4">
              <w:rPr>
                <w:sz w:val="21"/>
              </w:rPr>
              <w:t>for PSA</w:t>
            </w:r>
          </w:p>
        </w:tc>
        <w:tc>
          <w:tcPr>
            <w:tcW w:w="3686" w:type="dxa"/>
          </w:tcPr>
          <w:p w14:paraId="41EF0A7D" w14:textId="6DD76766" w:rsidR="002A666C" w:rsidRPr="004922F4" w:rsidRDefault="00E26E1E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4922F4">
              <w:rPr>
                <w:spacing w:val="-4"/>
                <w:sz w:val="21"/>
              </w:rPr>
              <w:t>Vestibule</w:t>
            </w:r>
          </w:p>
        </w:tc>
      </w:tr>
      <w:tr w:rsidR="00524F57" w14:paraId="7F6A4D76" w14:textId="77777777">
        <w:trPr>
          <w:trHeight w:val="239"/>
        </w:trPr>
        <w:tc>
          <w:tcPr>
            <w:tcW w:w="2410" w:type="dxa"/>
          </w:tcPr>
          <w:p w14:paraId="14B5E071" w14:textId="29BEF924" w:rsidR="00524F57" w:rsidRDefault="00524F57" w:rsidP="002A666C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5.00 pm – 7.00 pm</w:t>
            </w:r>
          </w:p>
        </w:tc>
        <w:tc>
          <w:tcPr>
            <w:tcW w:w="4536" w:type="dxa"/>
          </w:tcPr>
          <w:p w14:paraId="2070042D" w14:textId="251B73F0" w:rsidR="00524F57" w:rsidRPr="004922F4" w:rsidRDefault="00524F57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>Collectors Club + FDN Artist Talk with Angela Tiatia</w:t>
            </w:r>
          </w:p>
        </w:tc>
        <w:tc>
          <w:tcPr>
            <w:tcW w:w="3686" w:type="dxa"/>
          </w:tcPr>
          <w:p w14:paraId="045D03E0" w14:textId="26E4BEFA" w:rsidR="00524F57" w:rsidRPr="004922F4" w:rsidRDefault="00E26E1E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4922F4">
              <w:rPr>
                <w:spacing w:val="-4"/>
                <w:sz w:val="21"/>
              </w:rPr>
              <w:t>Vestibule</w:t>
            </w:r>
          </w:p>
        </w:tc>
      </w:tr>
      <w:tr w:rsidR="002A666C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225FAF91" w:rsidR="002A666C" w:rsidRDefault="002A666C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14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D02F1" w14:paraId="650C8FC7" w14:textId="77777777" w:rsidTr="007A1594">
        <w:trPr>
          <w:trHeight w:val="239"/>
        </w:trPr>
        <w:tc>
          <w:tcPr>
            <w:tcW w:w="2410" w:type="dxa"/>
          </w:tcPr>
          <w:p w14:paraId="4C1F9ABD" w14:textId="556DEF88" w:rsidR="005D02F1" w:rsidRPr="004922F4" w:rsidRDefault="005D02F1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922F4">
              <w:rPr>
                <w:sz w:val="21"/>
              </w:rPr>
              <w:t>8.00 am – 5.00 pm</w:t>
            </w:r>
          </w:p>
        </w:tc>
        <w:tc>
          <w:tcPr>
            <w:tcW w:w="4536" w:type="dxa"/>
          </w:tcPr>
          <w:p w14:paraId="73802949" w14:textId="32BF29D1" w:rsidR="005D02F1" w:rsidRPr="004922F4" w:rsidRDefault="005D02F1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>ED - Aboriginal &amp; Torres Strait Islander art in the classroom #14</w:t>
            </w:r>
          </w:p>
        </w:tc>
        <w:tc>
          <w:tcPr>
            <w:tcW w:w="3686" w:type="dxa"/>
          </w:tcPr>
          <w:p w14:paraId="16BCD38D" w14:textId="4338BC59" w:rsidR="005D02F1" w:rsidRPr="004922F4" w:rsidRDefault="005D02F1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>Radford</w:t>
            </w:r>
          </w:p>
        </w:tc>
      </w:tr>
      <w:tr w:rsidR="00896FF0" w14:paraId="183D9699" w14:textId="77777777" w:rsidTr="007A1594">
        <w:trPr>
          <w:trHeight w:val="239"/>
        </w:trPr>
        <w:tc>
          <w:tcPr>
            <w:tcW w:w="2410" w:type="dxa"/>
          </w:tcPr>
          <w:p w14:paraId="0CB16888" w14:textId="19A2901D" w:rsidR="00896FF0" w:rsidRPr="004922F4" w:rsidRDefault="00896FF0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922F4"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0D03ED25" w14:textId="5EE9B821" w:rsidR="00896FF0" w:rsidRPr="004922F4" w:rsidRDefault="00896FF0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>Strategic Planning – Sandy + Rhana</w:t>
            </w:r>
          </w:p>
        </w:tc>
        <w:tc>
          <w:tcPr>
            <w:tcW w:w="3686" w:type="dxa"/>
          </w:tcPr>
          <w:p w14:paraId="6AAD5FB5" w14:textId="4A799B80" w:rsidR="00896FF0" w:rsidRPr="004922F4" w:rsidRDefault="00896FF0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22F4">
              <w:rPr>
                <w:sz w:val="21"/>
              </w:rPr>
              <w:t xml:space="preserve">Rhana’s office </w:t>
            </w:r>
          </w:p>
        </w:tc>
      </w:tr>
      <w:tr w:rsidR="002A666C" w14:paraId="7CF77A84" w14:textId="77777777" w:rsidTr="007A1594">
        <w:trPr>
          <w:trHeight w:val="239"/>
        </w:trPr>
        <w:tc>
          <w:tcPr>
            <w:tcW w:w="2410" w:type="dxa"/>
          </w:tcPr>
          <w:p w14:paraId="5F7C976C" w14:textId="4C945768" w:rsidR="002A666C" w:rsidRDefault="005D02F1" w:rsidP="002A666C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 pm – 6.30 pm</w:t>
            </w:r>
          </w:p>
        </w:tc>
        <w:tc>
          <w:tcPr>
            <w:tcW w:w="4536" w:type="dxa"/>
          </w:tcPr>
          <w:p w14:paraId="49C9F4B5" w14:textId="7C18CE99" w:rsidR="002A666C" w:rsidRPr="008C7268" w:rsidRDefault="005D02F1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D02F1">
              <w:rPr>
                <w:sz w:val="21"/>
              </w:rPr>
              <w:t>Curators and the Collection: Aboriginal and Torres Strait Islander Art in the Classroom book launch</w:t>
            </w:r>
          </w:p>
        </w:tc>
        <w:tc>
          <w:tcPr>
            <w:tcW w:w="3686" w:type="dxa"/>
          </w:tcPr>
          <w:p w14:paraId="63BDA1DD" w14:textId="42C02652" w:rsidR="002A666C" w:rsidRDefault="005D02F1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2A666C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3DC50B0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15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2A666C" w:rsidRPr="00C84860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A666C" w14:paraId="676C68FF" w14:textId="77777777">
        <w:trPr>
          <w:trHeight w:val="239"/>
        </w:trPr>
        <w:tc>
          <w:tcPr>
            <w:tcW w:w="2410" w:type="dxa"/>
          </w:tcPr>
          <w:p w14:paraId="4099483B" w14:textId="4749A595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2.00 pm</w:t>
            </w:r>
          </w:p>
        </w:tc>
        <w:tc>
          <w:tcPr>
            <w:tcW w:w="4536" w:type="dxa"/>
          </w:tcPr>
          <w:p w14:paraId="5374C8B6" w14:textId="60D6B001" w:rsidR="002A666C" w:rsidRPr="004900DF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A666C">
              <w:rPr>
                <w:sz w:val="21"/>
              </w:rPr>
              <w:t>Members Cut &amp; Collage Workshop with Alice Lindstrom</w:t>
            </w:r>
          </w:p>
        </w:tc>
        <w:tc>
          <w:tcPr>
            <w:tcW w:w="3686" w:type="dxa"/>
          </w:tcPr>
          <w:p w14:paraId="4244E0AF" w14:textId="44D7F07B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2A666C" w14:paraId="70800D83" w14:textId="77777777">
        <w:trPr>
          <w:trHeight w:val="239"/>
        </w:trPr>
        <w:tc>
          <w:tcPr>
            <w:tcW w:w="2410" w:type="dxa"/>
          </w:tcPr>
          <w:p w14:paraId="4B56BC72" w14:textId="27BD87A2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1.45 pm – 3.15 pm</w:t>
            </w:r>
          </w:p>
        </w:tc>
        <w:tc>
          <w:tcPr>
            <w:tcW w:w="4536" w:type="dxa"/>
          </w:tcPr>
          <w:p w14:paraId="59885015" w14:textId="5BACB66B" w:rsidR="002A666C" w:rsidRPr="00BD0F70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D0F70">
              <w:rPr>
                <w:sz w:val="21"/>
              </w:rPr>
              <w:t>Members Book Club</w:t>
            </w:r>
          </w:p>
        </w:tc>
        <w:tc>
          <w:tcPr>
            <w:tcW w:w="3686" w:type="dxa"/>
          </w:tcPr>
          <w:p w14:paraId="5D751A55" w14:textId="385031BB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2A666C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40EFBD59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16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A666C" w14:paraId="0B66D386" w14:textId="77777777">
        <w:trPr>
          <w:trHeight w:val="239"/>
        </w:trPr>
        <w:tc>
          <w:tcPr>
            <w:tcW w:w="2410" w:type="dxa"/>
          </w:tcPr>
          <w:p w14:paraId="3CC96E82" w14:textId="7C235B99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393B1579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45453749" w14:textId="5C12E92A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A666C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541C62EC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17 July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A666C" w:rsidRPr="008162B4" w14:paraId="06AB4089" w14:textId="77777777" w:rsidTr="00C81770">
        <w:trPr>
          <w:trHeight w:val="239"/>
        </w:trPr>
        <w:tc>
          <w:tcPr>
            <w:tcW w:w="2410" w:type="dxa"/>
          </w:tcPr>
          <w:p w14:paraId="48B9363F" w14:textId="53C3EE12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6" w:name="_Hlk136864691"/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0462D88C" w14:textId="1E9103A7" w:rsidR="002A666C" w:rsidRPr="00BC044A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F1A152D" w14:textId="3C45F2B6" w:rsidR="002A666C" w:rsidRDefault="002A666C" w:rsidP="002A666C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2A666C" w:rsidRPr="008162B4" w14:paraId="62C4AD4B" w14:textId="77777777" w:rsidTr="00C81770">
        <w:trPr>
          <w:trHeight w:val="239"/>
        </w:trPr>
        <w:tc>
          <w:tcPr>
            <w:tcW w:w="2410" w:type="dxa"/>
          </w:tcPr>
          <w:p w14:paraId="2B6D9BFD" w14:textId="3BD2DA1C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5.00 pm</w:t>
            </w:r>
          </w:p>
        </w:tc>
        <w:tc>
          <w:tcPr>
            <w:tcW w:w="4536" w:type="dxa"/>
          </w:tcPr>
          <w:p w14:paraId="2705F215" w14:textId="18EBF656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50D86">
              <w:rPr>
                <w:sz w:val="21"/>
              </w:rPr>
              <w:t>RAP meeting</w:t>
            </w:r>
          </w:p>
        </w:tc>
        <w:tc>
          <w:tcPr>
            <w:tcW w:w="3686" w:type="dxa"/>
          </w:tcPr>
          <w:p w14:paraId="2A24D9CF" w14:textId="3DEA32B3" w:rsidR="002A666C" w:rsidRDefault="002A666C" w:rsidP="002A666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bookmarkEnd w:id="6"/>
    </w:tbl>
    <w:p w14:paraId="0F807721" w14:textId="77777777" w:rsidR="00B862D5" w:rsidRDefault="00B862D5" w:rsidP="007742E9">
      <w:pPr>
        <w:spacing w:before="94"/>
        <w:rPr>
          <w:b/>
          <w:u w:val="single"/>
        </w:rPr>
      </w:pPr>
    </w:p>
    <w:p w14:paraId="5F0BD447" w14:textId="44586DFE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6AE93929" w14:textId="1FB9C847" w:rsidR="00BD7232" w:rsidRPr="0048416B" w:rsidRDefault="000325DE" w:rsidP="00FB380D">
      <w:pPr>
        <w:pStyle w:val="ListParagraph"/>
        <w:numPr>
          <w:ilvl w:val="0"/>
          <w:numId w:val="15"/>
        </w:numPr>
        <w:rPr>
          <w:rStyle w:val="Hyperlink"/>
          <w:bCs/>
          <w:color w:val="auto"/>
          <w:u w:val="none"/>
        </w:rPr>
      </w:pPr>
      <w:hyperlink r:id="rId8" w:history="1">
        <w:r w:rsidR="000266BB">
          <w:rPr>
            <w:rStyle w:val="Hyperlink"/>
            <w:bCs/>
          </w:rPr>
          <w:t>Illuminate Adelaide - The Pearl by Angela Tiatia 9 to 23 July 2023</w:t>
        </w:r>
      </w:hyperlink>
      <w:r w:rsidR="004D4E14" w:rsidRPr="0048416B">
        <w:rPr>
          <w:rStyle w:val="Hyperlink"/>
          <w:bCs/>
          <w:u w:val="none"/>
        </w:rPr>
        <w:t xml:space="preserve">    </w:t>
      </w:r>
    </w:p>
    <w:p w14:paraId="3A022C94" w14:textId="77777777" w:rsidR="004D4E14" w:rsidRPr="004D4E14" w:rsidRDefault="004D4E14" w:rsidP="004D4E14">
      <w:pPr>
        <w:rPr>
          <w:bCs/>
        </w:rPr>
      </w:pPr>
    </w:p>
    <w:p w14:paraId="414DF46D" w14:textId="6565B73B" w:rsidR="00FB380D" w:rsidRPr="00FB380D" w:rsidRDefault="00FB380D" w:rsidP="00FB380D">
      <w:pPr>
        <w:pStyle w:val="ListParagraph"/>
        <w:numPr>
          <w:ilvl w:val="0"/>
          <w:numId w:val="15"/>
        </w:numPr>
        <w:rPr>
          <w:bCs/>
        </w:rPr>
      </w:pPr>
      <w:r w:rsidRPr="00FB380D">
        <w:rPr>
          <w:bCs/>
        </w:rPr>
        <w:t>Tuesday Talks</w:t>
      </w:r>
      <w:r w:rsidR="00AE37A8">
        <w:rPr>
          <w:bCs/>
        </w:rPr>
        <w:t xml:space="preserve"> -</w:t>
      </w:r>
      <w:r w:rsidRPr="00FB380D">
        <w:rPr>
          <w:bCs/>
        </w:rPr>
        <w:t xml:space="preserve"> </w:t>
      </w:r>
      <w:r w:rsidRPr="00E26E1E">
        <w:rPr>
          <w:bCs/>
          <w:i/>
          <w:iCs/>
        </w:rPr>
        <w:t xml:space="preserve">Navigating the new </w:t>
      </w:r>
      <w:r w:rsidRPr="00FB380D">
        <w:rPr>
          <w:bCs/>
        </w:rPr>
        <w:t>with Lisa Slade and artist Angela Tiatia</w:t>
      </w:r>
      <w:r w:rsidR="00E26E1E">
        <w:rPr>
          <w:bCs/>
        </w:rPr>
        <w:t xml:space="preserve">, </w:t>
      </w:r>
      <w:r>
        <w:rPr>
          <w:bCs/>
        </w:rPr>
        <w:t>in Gallery 9.</w:t>
      </w:r>
    </w:p>
    <w:p w14:paraId="18295651" w14:textId="77777777" w:rsidR="00BD7232" w:rsidRPr="00BD7232" w:rsidRDefault="00BD7232" w:rsidP="00BD7232">
      <w:pPr>
        <w:pStyle w:val="ListParagraph"/>
        <w:rPr>
          <w:bCs/>
        </w:rPr>
      </w:pPr>
    </w:p>
    <w:p w14:paraId="567562BD" w14:textId="2D637444" w:rsidR="00BD7232" w:rsidRDefault="00BD7232" w:rsidP="00FB380D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Please be aware of TV</w:t>
      </w:r>
      <w:r w:rsidR="00E26E1E">
        <w:rPr>
          <w:bCs/>
        </w:rPr>
        <w:t xml:space="preserve"> </w:t>
      </w:r>
      <w:r>
        <w:rPr>
          <w:bCs/>
        </w:rPr>
        <w:t xml:space="preserve">broadcasts </w:t>
      </w:r>
      <w:r w:rsidR="00B177F5" w:rsidRPr="00E26E1E">
        <w:rPr>
          <w:bCs/>
        </w:rPr>
        <w:t>being filmed</w:t>
      </w:r>
      <w:r w:rsidR="00E26E1E">
        <w:rPr>
          <w:bCs/>
        </w:rPr>
        <w:t xml:space="preserve"> </w:t>
      </w:r>
      <w:r w:rsidR="00FB380D">
        <w:rPr>
          <w:bCs/>
        </w:rPr>
        <w:t xml:space="preserve">in </w:t>
      </w:r>
      <w:r w:rsidR="00E26E1E">
        <w:rPr>
          <w:bCs/>
        </w:rPr>
        <w:t xml:space="preserve">the </w:t>
      </w:r>
      <w:r w:rsidR="00FB380D" w:rsidRPr="00E26E1E">
        <w:rPr>
          <w:bCs/>
          <w:i/>
          <w:iCs/>
        </w:rPr>
        <w:t>Ramsay</w:t>
      </w:r>
      <w:r w:rsidR="00E26E1E" w:rsidRPr="00E26E1E">
        <w:rPr>
          <w:bCs/>
          <w:i/>
          <w:iCs/>
        </w:rPr>
        <w:t xml:space="preserve"> Art Prize</w:t>
      </w:r>
      <w:r w:rsidR="00E26E1E">
        <w:rPr>
          <w:bCs/>
          <w:i/>
          <w:iCs/>
        </w:rPr>
        <w:t xml:space="preserve"> 2023</w:t>
      </w:r>
      <w:r w:rsidR="00E26E1E">
        <w:rPr>
          <w:bCs/>
        </w:rPr>
        <w:t xml:space="preserve"> Galleries,</w:t>
      </w:r>
      <w:r>
        <w:rPr>
          <w:bCs/>
        </w:rPr>
        <w:t xml:space="preserve"> on Tuesday </w:t>
      </w:r>
      <w:r w:rsidR="00FB380D">
        <w:rPr>
          <w:bCs/>
        </w:rPr>
        <w:t>11</w:t>
      </w:r>
      <w:r>
        <w:rPr>
          <w:bCs/>
        </w:rPr>
        <w:t xml:space="preserve"> </w:t>
      </w:r>
      <w:r>
        <w:rPr>
          <w:bCs/>
        </w:rPr>
        <w:lastRenderedPageBreak/>
        <w:t>July</w:t>
      </w:r>
      <w:r w:rsidR="00E26E1E">
        <w:rPr>
          <w:bCs/>
        </w:rPr>
        <w:t xml:space="preserve">, from </w:t>
      </w:r>
      <w:r w:rsidR="00FB380D">
        <w:rPr>
          <w:bCs/>
        </w:rPr>
        <w:t>8</w:t>
      </w:r>
      <w:r>
        <w:rPr>
          <w:bCs/>
        </w:rPr>
        <w:t xml:space="preserve"> am to 10 am.</w:t>
      </w:r>
    </w:p>
    <w:p w14:paraId="5126412B" w14:textId="77777777" w:rsidR="00FB380D" w:rsidRPr="00FB380D" w:rsidRDefault="00FB380D" w:rsidP="00FB380D">
      <w:pPr>
        <w:pStyle w:val="ListParagraph"/>
        <w:rPr>
          <w:bCs/>
        </w:rPr>
      </w:pPr>
    </w:p>
    <w:p w14:paraId="0638EE9A" w14:textId="73E4A2F1" w:rsidR="00FB380D" w:rsidRDefault="00FB380D" w:rsidP="00FB380D">
      <w:pPr>
        <w:pStyle w:val="ListParagraph"/>
        <w:numPr>
          <w:ilvl w:val="0"/>
          <w:numId w:val="15"/>
        </w:numPr>
        <w:rPr>
          <w:bCs/>
        </w:rPr>
      </w:pPr>
      <w:r w:rsidRPr="00524F57">
        <w:rPr>
          <w:bCs/>
          <w:i/>
          <w:iCs/>
        </w:rPr>
        <w:t>Frida &amp; Diego: Love and Revolution</w:t>
      </w:r>
      <w:r w:rsidRPr="00FB380D">
        <w:rPr>
          <w:bCs/>
        </w:rPr>
        <w:t xml:space="preserve"> - Educator Briefing</w:t>
      </w:r>
      <w:r>
        <w:rPr>
          <w:bCs/>
        </w:rPr>
        <w:t xml:space="preserve"> on Wednesday 12 July in the Courtyard is Sold Out.</w:t>
      </w:r>
    </w:p>
    <w:p w14:paraId="4A8AD2A2" w14:textId="77777777" w:rsidR="003C07FC" w:rsidRPr="003C07FC" w:rsidRDefault="003C07FC" w:rsidP="003C07FC">
      <w:pPr>
        <w:pStyle w:val="ListParagraph"/>
        <w:rPr>
          <w:bCs/>
        </w:rPr>
      </w:pPr>
    </w:p>
    <w:p w14:paraId="2522210C" w14:textId="296F7363" w:rsidR="002A666C" w:rsidRPr="002A666C" w:rsidRDefault="003C07FC" w:rsidP="002A666C">
      <w:pPr>
        <w:pStyle w:val="ListParagraph"/>
        <w:numPr>
          <w:ilvl w:val="0"/>
          <w:numId w:val="15"/>
        </w:numPr>
        <w:rPr>
          <w:bCs/>
        </w:rPr>
      </w:pPr>
      <w:r w:rsidRPr="003C07FC">
        <w:rPr>
          <w:bCs/>
        </w:rPr>
        <w:t xml:space="preserve">Curators and the Collection: </w:t>
      </w:r>
      <w:r w:rsidRPr="00E26E1E">
        <w:rPr>
          <w:bCs/>
          <w:i/>
          <w:iCs/>
        </w:rPr>
        <w:t xml:space="preserve">Aboriginal and Torres Strait Islander Art in the Classroom </w:t>
      </w:r>
      <w:r w:rsidR="00E26E1E" w:rsidRPr="00E26E1E">
        <w:rPr>
          <w:bCs/>
          <w:i/>
          <w:iCs/>
        </w:rPr>
        <w:t>Volume 2</w:t>
      </w:r>
      <w:r w:rsidR="00E26E1E">
        <w:rPr>
          <w:bCs/>
        </w:rPr>
        <w:t xml:space="preserve"> </w:t>
      </w:r>
      <w:r w:rsidRPr="003C07FC">
        <w:rPr>
          <w:bCs/>
        </w:rPr>
        <w:t>book launch</w:t>
      </w:r>
      <w:r>
        <w:rPr>
          <w:bCs/>
        </w:rPr>
        <w:t xml:space="preserve"> in </w:t>
      </w:r>
      <w:r w:rsidR="00E26E1E">
        <w:rPr>
          <w:bCs/>
        </w:rPr>
        <w:t>the Radford</w:t>
      </w:r>
      <w:r>
        <w:rPr>
          <w:bCs/>
        </w:rPr>
        <w:t xml:space="preserve"> </w:t>
      </w:r>
      <w:r w:rsidR="00E26E1E">
        <w:rPr>
          <w:bCs/>
        </w:rPr>
        <w:t xml:space="preserve">on </w:t>
      </w:r>
      <w:r>
        <w:rPr>
          <w:bCs/>
        </w:rPr>
        <w:t>Friday 14 July.</w:t>
      </w:r>
    </w:p>
    <w:p w14:paraId="672339E3" w14:textId="77777777" w:rsidR="00BD7232" w:rsidRPr="00BD7232" w:rsidRDefault="00BD7232" w:rsidP="00BD7232">
      <w:pPr>
        <w:pStyle w:val="ListParagraph"/>
        <w:rPr>
          <w:bCs/>
        </w:rPr>
      </w:pPr>
    </w:p>
    <w:p w14:paraId="05AA08E0" w14:textId="3B4E61C2" w:rsidR="00BD7232" w:rsidRDefault="00BD7232" w:rsidP="00FB380D">
      <w:pPr>
        <w:pStyle w:val="ListParagraph"/>
        <w:numPr>
          <w:ilvl w:val="0"/>
          <w:numId w:val="15"/>
        </w:numPr>
        <w:rPr>
          <w:bCs/>
        </w:rPr>
      </w:pPr>
      <w:r w:rsidRPr="004D4E14">
        <w:rPr>
          <w:bCs/>
          <w:i/>
          <w:iCs/>
        </w:rPr>
        <w:t xml:space="preserve">Interwoven Journeys </w:t>
      </w:r>
      <w:r>
        <w:rPr>
          <w:bCs/>
        </w:rPr>
        <w:t xml:space="preserve">is </w:t>
      </w:r>
      <w:r w:rsidR="004D4E14" w:rsidRPr="0048416B">
        <w:rPr>
          <w:bCs/>
        </w:rPr>
        <w:t>in</w:t>
      </w:r>
      <w:r w:rsidR="004D4E14">
        <w:rPr>
          <w:bCs/>
        </w:rPr>
        <w:t xml:space="preserve"> </w:t>
      </w:r>
      <w:r>
        <w:rPr>
          <w:bCs/>
        </w:rPr>
        <w:t>the process of being deinstalled. Please be mindful of works being conducted through Galleries 19 to 21.</w:t>
      </w:r>
    </w:p>
    <w:p w14:paraId="320A9F92" w14:textId="77777777" w:rsidR="00BD7232" w:rsidRPr="00BD7232" w:rsidRDefault="00BD7232" w:rsidP="00BD7232">
      <w:pPr>
        <w:rPr>
          <w:bCs/>
        </w:rPr>
      </w:pPr>
    </w:p>
    <w:p w14:paraId="0858A7F6" w14:textId="052600C6" w:rsidR="008277E2" w:rsidRDefault="004D4986" w:rsidP="00FB380D">
      <w:pPr>
        <w:pStyle w:val="ListParagraph"/>
        <w:numPr>
          <w:ilvl w:val="0"/>
          <w:numId w:val="15"/>
        </w:numPr>
        <w:rPr>
          <w:bCs/>
        </w:rPr>
      </w:pPr>
      <w:r w:rsidRPr="00FB380D">
        <w:rPr>
          <w:bCs/>
        </w:rPr>
        <w:t xml:space="preserve">Please be mindful of </w:t>
      </w:r>
      <w:r w:rsidR="00D152CF" w:rsidRPr="00FB380D">
        <w:rPr>
          <w:bCs/>
        </w:rPr>
        <w:t>contractors</w:t>
      </w:r>
      <w:r w:rsidR="00144FEF" w:rsidRPr="00FB380D">
        <w:rPr>
          <w:bCs/>
        </w:rPr>
        <w:t xml:space="preserve"> who will be </w:t>
      </w:r>
      <w:r w:rsidR="00D152CF" w:rsidRPr="00FB380D">
        <w:rPr>
          <w:bCs/>
        </w:rPr>
        <w:t xml:space="preserve">working on </w:t>
      </w:r>
      <w:r w:rsidR="00144FEF" w:rsidRPr="00FB380D">
        <w:rPr>
          <w:bCs/>
        </w:rPr>
        <w:t>the</w:t>
      </w:r>
      <w:r w:rsidR="00D152CF" w:rsidRPr="00FB380D">
        <w:rPr>
          <w:bCs/>
        </w:rPr>
        <w:t xml:space="preserve"> East Laneway Sewerage works </w:t>
      </w:r>
      <w:r w:rsidR="00AE4EB5" w:rsidRPr="00FB380D">
        <w:rPr>
          <w:bCs/>
        </w:rPr>
        <w:t xml:space="preserve">along </w:t>
      </w:r>
      <w:r w:rsidR="00D152CF" w:rsidRPr="00FB380D">
        <w:rPr>
          <w:bCs/>
        </w:rPr>
        <w:t>the Eastern Laneway</w:t>
      </w:r>
      <w:r w:rsidR="00FB380D">
        <w:rPr>
          <w:bCs/>
        </w:rPr>
        <w:t>.</w:t>
      </w:r>
    </w:p>
    <w:p w14:paraId="0AD5FB0A" w14:textId="77777777" w:rsidR="00422E5B" w:rsidRPr="00422E5B" w:rsidRDefault="00422E5B" w:rsidP="00422E5B">
      <w:pPr>
        <w:pStyle w:val="ListParagraph"/>
        <w:rPr>
          <w:bCs/>
        </w:rPr>
      </w:pPr>
    </w:p>
    <w:p w14:paraId="58D389A0" w14:textId="0AADE7C6" w:rsidR="00422E5B" w:rsidRPr="00144C52" w:rsidRDefault="00422E5B" w:rsidP="001B4122">
      <w:pPr>
        <w:pStyle w:val="ListParagraph"/>
        <w:numPr>
          <w:ilvl w:val="0"/>
          <w:numId w:val="15"/>
        </w:numPr>
        <w:rPr>
          <w:bCs/>
        </w:rPr>
      </w:pPr>
      <w:r w:rsidRPr="00144C52">
        <w:rPr>
          <w:bCs/>
        </w:rPr>
        <w:t>The Radford and Donor’s Lounge are now Teams only rooms. Please remember to book your online meetings via Teams and use the new calendars for the Radford and Donor’s Lounge.</w:t>
      </w:r>
      <w:r w:rsidR="00144C52" w:rsidRPr="00144C52">
        <w:rPr>
          <w:bCs/>
        </w:rPr>
        <w:t xml:space="preserve"> </w:t>
      </w:r>
      <w:r w:rsidR="00144C52" w:rsidRPr="00144C52">
        <w:rPr>
          <w:bCs/>
        </w:rPr>
        <w:t xml:space="preserve">All relevant information is contained within the Teams Group </w:t>
      </w:r>
      <w:hyperlink r:id="rId9" w:tgtFrame="_blank" w:tooltip="https://teams.microsoft.com/l/channel/19%3aiGA3MuZxOPQ53EHGokytctUKE-cSCayYAtkHLwFqqbU1%40thread.tacv2/General?groupId=2286d8dd-4f94-4148-b541-d1b4b0185b47&amp;tenantId=bda528f7-fca9-432f-bc98-bd7e90d40906" w:history="1">
        <w:r w:rsidR="00144C52" w:rsidRPr="00144C52">
          <w:rPr>
            <w:rFonts w:eastAsia="Times New Roman"/>
            <w:color w:val="0000FF"/>
            <w:sz w:val="24"/>
            <w:szCs w:val="24"/>
            <w:u w:val="single"/>
          </w:rPr>
          <w:t>"AGSA Microsoft Teams Tr</w:t>
        </w:r>
        <w:r w:rsidR="00144C52" w:rsidRPr="00144C52">
          <w:rPr>
            <w:rFonts w:eastAsia="Times New Roman"/>
            <w:color w:val="0000FF"/>
            <w:sz w:val="24"/>
            <w:szCs w:val="24"/>
            <w:u w:val="single"/>
          </w:rPr>
          <w:t>a</w:t>
        </w:r>
        <w:r w:rsidR="00144C52" w:rsidRPr="00144C52">
          <w:rPr>
            <w:rFonts w:eastAsia="Times New Roman"/>
            <w:color w:val="0000FF"/>
            <w:sz w:val="24"/>
            <w:szCs w:val="24"/>
            <w:u w:val="single"/>
          </w:rPr>
          <w:t>nsition"</w:t>
        </w:r>
      </w:hyperlink>
    </w:p>
    <w:p w14:paraId="30538572" w14:textId="77777777" w:rsidR="00144C52" w:rsidRPr="00144C52" w:rsidRDefault="00144C52" w:rsidP="00144C52">
      <w:pPr>
        <w:pStyle w:val="ListParagraph"/>
        <w:rPr>
          <w:bCs/>
        </w:rPr>
      </w:pPr>
    </w:p>
    <w:p w14:paraId="02BD3980" w14:textId="59FFF893" w:rsidR="00144C52" w:rsidRPr="00144C52" w:rsidRDefault="00144C52" w:rsidP="001B4122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Lift upgrade works are scheduled to start Saturday 22 July. Staff will be moving in stages from Level 3 to Level 2, Library, Function Room, Members Lounge and Collab Space commencing 13 July. Please see Anika and Jerome for details.</w:t>
      </w:r>
    </w:p>
    <w:p w14:paraId="0E41ECCC" w14:textId="77777777" w:rsidR="00144C52" w:rsidRPr="00144C52" w:rsidRDefault="00144C52" w:rsidP="00144C52">
      <w:pPr>
        <w:rPr>
          <w:bCs/>
        </w:rPr>
      </w:pPr>
    </w:p>
    <w:p w14:paraId="1CC1FB54" w14:textId="09D5D6B6" w:rsidR="00422E5B" w:rsidRDefault="00422E5B" w:rsidP="00FB380D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The Function Room is offline due to the lift upgrade.</w:t>
      </w:r>
    </w:p>
    <w:p w14:paraId="5D11E336" w14:textId="77777777" w:rsidR="00FB380D" w:rsidRPr="00FB380D" w:rsidRDefault="00FB380D" w:rsidP="00FB380D">
      <w:pPr>
        <w:rPr>
          <w:bCs/>
        </w:rPr>
      </w:pPr>
    </w:p>
    <w:p w14:paraId="05E39F08" w14:textId="3BCDB93B" w:rsidR="008277E2" w:rsidRPr="00144FEF" w:rsidRDefault="008277E2" w:rsidP="00FB380D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Toolbox resumes 8.30 am Monday 10 July 2023 in the Atrium.</w:t>
      </w:r>
    </w:p>
    <w:p w14:paraId="5BF6F7C8" w14:textId="4D998C71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FB380D">
        <w:rPr>
          <w:b/>
          <w:spacing w:val="-7"/>
          <w:u w:val="single"/>
        </w:rPr>
        <w:t>10</w:t>
      </w:r>
      <w:r w:rsidR="00BD7232">
        <w:rPr>
          <w:b/>
          <w:spacing w:val="-7"/>
          <w:u w:val="single"/>
        </w:rPr>
        <w:t xml:space="preserve"> July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0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1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2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0325DE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3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48416B" w:rsidRPr="00FB402B" w14:paraId="4AC9E8FA" w14:textId="77777777" w:rsidTr="00B41C45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48416B" w:rsidRPr="001773EA" w14:paraId="5588CC64" w14:textId="77777777" w:rsidTr="00B41C45">
        <w:trPr>
          <w:trHeight w:val="410"/>
        </w:trPr>
        <w:tc>
          <w:tcPr>
            <w:tcW w:w="3646" w:type="dxa"/>
          </w:tcPr>
          <w:p w14:paraId="50F8138E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581310D1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Projects / Ramsay Art Prize</w:t>
            </w:r>
          </w:p>
          <w:p w14:paraId="6E7900C8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331FF736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6C5BA48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12C323E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</w:p>
          <w:p w14:paraId="63447D53" w14:textId="77777777" w:rsidR="0048416B" w:rsidRDefault="0048416B" w:rsidP="00B41C4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– 21 July</w:t>
            </w:r>
          </w:p>
        </w:tc>
      </w:tr>
      <w:tr w:rsidR="00854D3A" w:rsidRPr="001773EA" w14:paraId="6AAFD43A" w14:textId="77777777" w:rsidTr="00B41C45">
        <w:trPr>
          <w:trHeight w:val="410"/>
        </w:trPr>
        <w:tc>
          <w:tcPr>
            <w:tcW w:w="3646" w:type="dxa"/>
          </w:tcPr>
          <w:p w14:paraId="01B1E9AB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7C16001A" w14:textId="215DFB26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2D7892DC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730ED53C" w14:textId="05A6D94B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6CEABDC7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</w:p>
          <w:p w14:paraId="047F6997" w14:textId="77777777" w:rsidR="00854D3A" w:rsidRPr="0012169B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270287B8" w14:textId="77777777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  <w:p w14:paraId="1B175F4D" w14:textId="22B22250" w:rsidR="00854D3A" w:rsidRDefault="00854D3A" w:rsidP="00854D3A">
            <w:pPr>
              <w:rPr>
                <w:bCs/>
                <w:sz w:val="20"/>
                <w:szCs w:val="20"/>
              </w:rPr>
            </w:pPr>
          </w:p>
        </w:tc>
      </w:tr>
      <w:tr w:rsidR="00854D3A" w:rsidRPr="001773EA" w14:paraId="7D4431D9" w14:textId="77777777" w:rsidTr="00B41C45">
        <w:trPr>
          <w:trHeight w:val="410"/>
        </w:trPr>
        <w:tc>
          <w:tcPr>
            <w:tcW w:w="3646" w:type="dxa"/>
          </w:tcPr>
          <w:p w14:paraId="6A921988" w14:textId="4B2C8CF1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01EA65D4" w14:textId="37FB44E7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Rusty Kelty</w:t>
            </w:r>
          </w:p>
        </w:tc>
        <w:tc>
          <w:tcPr>
            <w:tcW w:w="3647" w:type="dxa"/>
          </w:tcPr>
          <w:p w14:paraId="18512D51" w14:textId="3E805219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21 July</w:t>
            </w:r>
          </w:p>
        </w:tc>
      </w:tr>
      <w:tr w:rsidR="00854D3A" w:rsidRPr="001773EA" w14:paraId="44296F70" w14:textId="77777777" w:rsidTr="00B41C45">
        <w:trPr>
          <w:trHeight w:val="410"/>
        </w:trPr>
        <w:tc>
          <w:tcPr>
            <w:tcW w:w="3646" w:type="dxa"/>
          </w:tcPr>
          <w:p w14:paraId="2FA9C7C7" w14:textId="0727D51E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1F61ECF2" w14:textId="2249EA4F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3647" w:type="dxa"/>
          </w:tcPr>
          <w:p w14:paraId="0ACBB69E" w14:textId="6F29D073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14 July</w:t>
            </w:r>
          </w:p>
        </w:tc>
      </w:tr>
      <w:tr w:rsidR="00854D3A" w:rsidRPr="001773EA" w14:paraId="0450814A" w14:textId="77777777" w:rsidTr="00B41C45">
        <w:trPr>
          <w:trHeight w:val="410"/>
        </w:trPr>
        <w:tc>
          <w:tcPr>
            <w:tcW w:w="3646" w:type="dxa"/>
          </w:tcPr>
          <w:p w14:paraId="1476E854" w14:textId="1E279207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30BB8C86" w14:textId="132C292E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Elle Freak</w:t>
            </w:r>
          </w:p>
        </w:tc>
        <w:tc>
          <w:tcPr>
            <w:tcW w:w="3647" w:type="dxa"/>
          </w:tcPr>
          <w:p w14:paraId="260AB863" w14:textId="444F690E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July to 11 July</w:t>
            </w:r>
          </w:p>
        </w:tc>
      </w:tr>
      <w:tr w:rsidR="00854D3A" w:rsidRPr="001773EA" w14:paraId="60ADFACF" w14:textId="77777777" w:rsidTr="00B41C45">
        <w:trPr>
          <w:trHeight w:val="410"/>
        </w:trPr>
        <w:tc>
          <w:tcPr>
            <w:tcW w:w="3646" w:type="dxa"/>
          </w:tcPr>
          <w:p w14:paraId="72F447B9" w14:textId="6F19DDDF" w:rsidR="00854D3A" w:rsidRDefault="00854D3A" w:rsidP="00854D3A">
            <w:pPr>
              <w:rPr>
                <w:bCs/>
                <w:sz w:val="20"/>
                <w:szCs w:val="20"/>
              </w:rPr>
            </w:pPr>
            <w:r w:rsidRPr="00415039"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2070829D" w14:textId="111ED16A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3647" w:type="dxa"/>
          </w:tcPr>
          <w:p w14:paraId="174F84FF" w14:textId="2796132A" w:rsidR="00854D3A" w:rsidRDefault="00854D3A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July</w:t>
            </w:r>
          </w:p>
        </w:tc>
      </w:tr>
      <w:tr w:rsidR="00854D3A" w:rsidRPr="001773EA" w14:paraId="2EA5C249" w14:textId="77777777" w:rsidTr="00B41C45">
        <w:trPr>
          <w:trHeight w:val="410"/>
        </w:trPr>
        <w:tc>
          <w:tcPr>
            <w:tcW w:w="3646" w:type="dxa"/>
          </w:tcPr>
          <w:p w14:paraId="45A8EA35" w14:textId="2562D58B" w:rsidR="00854D3A" w:rsidRDefault="008F322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3647" w:type="dxa"/>
          </w:tcPr>
          <w:p w14:paraId="7C2DD867" w14:textId="0DE694DA" w:rsidR="00854D3A" w:rsidRDefault="008F322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3647" w:type="dxa"/>
          </w:tcPr>
          <w:p w14:paraId="05D3EFDE" w14:textId="15643A32" w:rsidR="00854D3A" w:rsidRDefault="000266BB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2023 to 22 April 2024</w:t>
            </w:r>
          </w:p>
        </w:tc>
      </w:tr>
      <w:tr w:rsidR="004922F4" w:rsidRPr="001773EA" w14:paraId="10E647A9" w14:textId="77777777" w:rsidTr="00B41C45">
        <w:trPr>
          <w:trHeight w:val="410"/>
        </w:trPr>
        <w:tc>
          <w:tcPr>
            <w:tcW w:w="3646" w:type="dxa"/>
          </w:tcPr>
          <w:p w14:paraId="000D9D9E" w14:textId="744D0885" w:rsidR="004922F4" w:rsidRDefault="004922F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3647" w:type="dxa"/>
          </w:tcPr>
          <w:p w14:paraId="2564593E" w14:textId="4B2091D8" w:rsidR="004922F4" w:rsidRDefault="004922F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3647" w:type="dxa"/>
          </w:tcPr>
          <w:p w14:paraId="15C064C3" w14:textId="745734E1" w:rsidR="004922F4" w:rsidRDefault="004922F4" w:rsidP="00854D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July to 14 July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6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BB89" w14:textId="77777777" w:rsidR="00B61526" w:rsidRDefault="00B61526" w:rsidP="00E05D1B">
      <w:r>
        <w:separator/>
      </w:r>
    </w:p>
  </w:endnote>
  <w:endnote w:type="continuationSeparator" w:id="0">
    <w:p w14:paraId="7663848E" w14:textId="77777777" w:rsidR="00B61526" w:rsidRDefault="00B61526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47D1" w14:textId="77777777" w:rsidR="00B61526" w:rsidRDefault="00B61526" w:rsidP="00E05D1B">
      <w:r>
        <w:separator/>
      </w:r>
    </w:p>
  </w:footnote>
  <w:footnote w:type="continuationSeparator" w:id="0">
    <w:p w14:paraId="246293FF" w14:textId="77777777" w:rsidR="00B61526" w:rsidRDefault="00B61526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8158A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2"/>
  </w:num>
  <w:num w:numId="2" w16cid:durableId="1511604925">
    <w:abstractNumId w:val="8"/>
  </w:num>
  <w:num w:numId="3" w16cid:durableId="2073314046">
    <w:abstractNumId w:val="9"/>
  </w:num>
  <w:num w:numId="4" w16cid:durableId="843319893">
    <w:abstractNumId w:val="4"/>
  </w:num>
  <w:num w:numId="5" w16cid:durableId="229078694">
    <w:abstractNumId w:val="14"/>
  </w:num>
  <w:num w:numId="6" w16cid:durableId="760639561">
    <w:abstractNumId w:val="13"/>
  </w:num>
  <w:num w:numId="7" w16cid:durableId="1722243426">
    <w:abstractNumId w:val="10"/>
  </w:num>
  <w:num w:numId="8" w16cid:durableId="1818110939">
    <w:abstractNumId w:val="5"/>
  </w:num>
  <w:num w:numId="9" w16cid:durableId="128475527">
    <w:abstractNumId w:val="7"/>
  </w:num>
  <w:num w:numId="10" w16cid:durableId="971861121">
    <w:abstractNumId w:val="3"/>
  </w:num>
  <w:num w:numId="11" w16cid:durableId="1716544916">
    <w:abstractNumId w:val="11"/>
  </w:num>
  <w:num w:numId="12" w16cid:durableId="232934108">
    <w:abstractNumId w:val="1"/>
  </w:num>
  <w:num w:numId="13" w16cid:durableId="37439418">
    <w:abstractNumId w:val="12"/>
  </w:num>
  <w:num w:numId="14" w16cid:durableId="515534936">
    <w:abstractNumId w:val="6"/>
  </w:num>
  <w:num w:numId="15" w16cid:durableId="105122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266BB"/>
    <w:rsid w:val="00030B4A"/>
    <w:rsid w:val="000325DE"/>
    <w:rsid w:val="000335DC"/>
    <w:rsid w:val="000370BB"/>
    <w:rsid w:val="0004139C"/>
    <w:rsid w:val="00046293"/>
    <w:rsid w:val="00046A5B"/>
    <w:rsid w:val="000477C7"/>
    <w:rsid w:val="000501F4"/>
    <w:rsid w:val="00055FE9"/>
    <w:rsid w:val="000642FE"/>
    <w:rsid w:val="0006653C"/>
    <w:rsid w:val="00075748"/>
    <w:rsid w:val="000759D5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5BA0"/>
    <w:rsid w:val="000B7089"/>
    <w:rsid w:val="000C2C91"/>
    <w:rsid w:val="000C3DEC"/>
    <w:rsid w:val="000C40F8"/>
    <w:rsid w:val="000C4E59"/>
    <w:rsid w:val="000C50BC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1639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5013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069"/>
    <w:rsid w:val="00200813"/>
    <w:rsid w:val="00201ABC"/>
    <w:rsid w:val="00210371"/>
    <w:rsid w:val="002119CC"/>
    <w:rsid w:val="00223080"/>
    <w:rsid w:val="0022444F"/>
    <w:rsid w:val="002247B7"/>
    <w:rsid w:val="00225512"/>
    <w:rsid w:val="00226E51"/>
    <w:rsid w:val="00227938"/>
    <w:rsid w:val="00242267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2224"/>
    <w:rsid w:val="002A666C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33F6"/>
    <w:rsid w:val="00306F3B"/>
    <w:rsid w:val="00311ABA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4622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B0438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5105"/>
    <w:rsid w:val="004077E5"/>
    <w:rsid w:val="00410A51"/>
    <w:rsid w:val="0041432D"/>
    <w:rsid w:val="00414CFA"/>
    <w:rsid w:val="00420A30"/>
    <w:rsid w:val="00420BF2"/>
    <w:rsid w:val="00422E5B"/>
    <w:rsid w:val="00423494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4986"/>
    <w:rsid w:val="004D4CBB"/>
    <w:rsid w:val="004D4E14"/>
    <w:rsid w:val="004E356A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52D7"/>
    <w:rsid w:val="00620AAE"/>
    <w:rsid w:val="00622471"/>
    <w:rsid w:val="006244CA"/>
    <w:rsid w:val="006270EF"/>
    <w:rsid w:val="006274F2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7203"/>
    <w:rsid w:val="006A4CE4"/>
    <w:rsid w:val="006A5048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A92"/>
    <w:rsid w:val="006E4E0F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277D6"/>
    <w:rsid w:val="00731523"/>
    <w:rsid w:val="00733E19"/>
    <w:rsid w:val="007376A1"/>
    <w:rsid w:val="00741897"/>
    <w:rsid w:val="00742D72"/>
    <w:rsid w:val="00743C1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E5F24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54D3A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5D6E"/>
    <w:rsid w:val="008A644E"/>
    <w:rsid w:val="008B468A"/>
    <w:rsid w:val="008B570A"/>
    <w:rsid w:val="008B7905"/>
    <w:rsid w:val="008C139A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05EB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281A"/>
    <w:rsid w:val="009A3887"/>
    <w:rsid w:val="009A3F46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6CBD"/>
    <w:rsid w:val="00AA0576"/>
    <w:rsid w:val="00AA171C"/>
    <w:rsid w:val="00AA233D"/>
    <w:rsid w:val="00AB1198"/>
    <w:rsid w:val="00AB1C5B"/>
    <w:rsid w:val="00AB2814"/>
    <w:rsid w:val="00AB4B36"/>
    <w:rsid w:val="00AC1349"/>
    <w:rsid w:val="00AC1362"/>
    <w:rsid w:val="00AC5CD4"/>
    <w:rsid w:val="00AC7086"/>
    <w:rsid w:val="00AD0B86"/>
    <w:rsid w:val="00AD4C28"/>
    <w:rsid w:val="00AD6B7E"/>
    <w:rsid w:val="00AD74BB"/>
    <w:rsid w:val="00AE37A8"/>
    <w:rsid w:val="00AE42E6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4247"/>
    <w:rsid w:val="00B352EF"/>
    <w:rsid w:val="00B36597"/>
    <w:rsid w:val="00B4230F"/>
    <w:rsid w:val="00B42FA5"/>
    <w:rsid w:val="00B53265"/>
    <w:rsid w:val="00B53EF2"/>
    <w:rsid w:val="00B54DA6"/>
    <w:rsid w:val="00B55539"/>
    <w:rsid w:val="00B56B18"/>
    <w:rsid w:val="00B61526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62DD"/>
    <w:rsid w:val="00B9631D"/>
    <w:rsid w:val="00BA2B51"/>
    <w:rsid w:val="00BA2FD1"/>
    <w:rsid w:val="00BA7130"/>
    <w:rsid w:val="00BB33D9"/>
    <w:rsid w:val="00BB35FB"/>
    <w:rsid w:val="00BB3D1F"/>
    <w:rsid w:val="00BB6FBC"/>
    <w:rsid w:val="00BB7087"/>
    <w:rsid w:val="00BC044A"/>
    <w:rsid w:val="00BC4F34"/>
    <w:rsid w:val="00BC52E6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5C17"/>
    <w:rsid w:val="00C46FD3"/>
    <w:rsid w:val="00C52662"/>
    <w:rsid w:val="00C53F5B"/>
    <w:rsid w:val="00C553D5"/>
    <w:rsid w:val="00C56DC0"/>
    <w:rsid w:val="00C60394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D1D3A"/>
    <w:rsid w:val="00CE3C7F"/>
    <w:rsid w:val="00CE5E24"/>
    <w:rsid w:val="00CE665D"/>
    <w:rsid w:val="00CF2355"/>
    <w:rsid w:val="00CF3E5E"/>
    <w:rsid w:val="00CF59DA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A5567"/>
    <w:rsid w:val="00DB133B"/>
    <w:rsid w:val="00DC0A36"/>
    <w:rsid w:val="00DC534C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52E7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B1"/>
    <w:rsid w:val="00E538C8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321A"/>
    <w:rsid w:val="00EE3727"/>
    <w:rsid w:val="00EE3F4C"/>
    <w:rsid w:val="00EE4BF5"/>
    <w:rsid w:val="00EE7337"/>
    <w:rsid w:val="00EF0F76"/>
    <w:rsid w:val="00EF0FEE"/>
    <w:rsid w:val="00EF2CA9"/>
    <w:rsid w:val="00EF7BD3"/>
    <w:rsid w:val="00F01A5E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4F0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4D64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sa.sa.gov.au/whats-on/exhibitions/angela-tiatia-the-pearl/" TargetMode="External"/><Relationship Id="rId13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health.sa.gov.au/wps/wcm/connect/public+content/sa+health+internet/conditions/infectious+diseases/covid-19/covid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10" Type="http://schemas.openxmlformats.org/officeDocument/2006/relationships/hyperlink" Target="https://bookabay.wilsonparking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teams.microsoft.com%2Fl%2Fchannel%2F19%253aiGA3MuZxOPQ53EHGokytctUKE-cSCayYAtkHLwFqqbU1%2540thread.tacv2%2FGeneral%3FgroupId%3D2286d8dd-4f94-4148-b541-d1b4b0185b47%26tenantId%3Dbda528f7-fca9-432f-bc98-bd7e90d40906&amp;data=05%7C01%7CWithers.Jerome%40artgallery.sa.gov.au%7C86143b1359e149df27e908db7934fbcc%7Cbda528f7fca9432fbc98bd7e90d40906%7C1%7C0%7C638237040839570094%7CUnknown%7CTWFpbGZsb3d8eyJWIjoiMC4wLjAwMDAiLCJQIjoiV2luMzIiLCJBTiI6Ik1haWwiLCJXVCI6Mn0%3D%7C3000%7C%7C%7C&amp;sdata=Fxv4VyTgPTcM6uYDKjuwBKqsNuyktJ5jveXf00JRL%2FE%3D&amp;reserved=0" TargetMode="External"/><Relationship Id="rId14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</cp:revision>
  <dcterms:created xsi:type="dcterms:W3CDTF">2023-07-11T01:48:00Z</dcterms:created>
  <dcterms:modified xsi:type="dcterms:W3CDTF">2023-07-11T03:50:00Z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